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AEA3" w14:textId="77777777" w:rsidR="009C51CF" w:rsidRPr="008B594D" w:rsidRDefault="009C51CF" w:rsidP="00DE475D">
      <w:pPr>
        <w:pStyle w:val="Title"/>
        <w:tabs>
          <w:tab w:val="clear" w:pos="6480"/>
          <w:tab w:val="clear" w:pos="8640"/>
          <w:tab w:val="left" w:pos="6570"/>
          <w:tab w:val="left" w:pos="8190"/>
          <w:tab w:val="left" w:pos="9000"/>
          <w:tab w:val="left" w:pos="9090"/>
        </w:tabs>
        <w:rPr>
          <w:rFonts w:ascii="Arial" w:hAnsi="Arial"/>
          <w:u w:val="none"/>
          <w:shd w:val="clear" w:color="auto" w:fill="FFFFFF"/>
        </w:rPr>
      </w:pPr>
      <w:r w:rsidRPr="008B594D">
        <w:rPr>
          <w:rFonts w:ascii="Arial" w:hAnsi="Arial"/>
          <w:noProof/>
          <w:u w:val="none"/>
        </w:rPr>
        <w:drawing>
          <wp:anchor distT="0" distB="0" distL="114300" distR="114300" simplePos="0" relativeHeight="251658240" behindDoc="0" locked="0" layoutInCell="1" allowOverlap="1" wp14:anchorId="672D304E" wp14:editId="4BA30497">
            <wp:simplePos x="0" y="0"/>
            <wp:positionH relativeFrom="column">
              <wp:posOffset>1828800</wp:posOffset>
            </wp:positionH>
            <wp:positionV relativeFrom="paragraph">
              <wp:posOffset>114300</wp:posOffset>
            </wp:positionV>
            <wp:extent cx="2295525" cy="714375"/>
            <wp:effectExtent l="0" t="0" r="9525" b="9525"/>
            <wp:wrapNone/>
            <wp:docPr id="104396920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77829" name="Picture 1" descr="A picture containing icon&#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955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083A6" w14:textId="77777777" w:rsidR="009C51CF" w:rsidRDefault="009C51CF" w:rsidP="00DE475D">
      <w:pPr>
        <w:pStyle w:val="Title"/>
        <w:tabs>
          <w:tab w:val="clear" w:pos="6480"/>
          <w:tab w:val="clear" w:pos="8640"/>
          <w:tab w:val="left" w:pos="6570"/>
          <w:tab w:val="left" w:pos="8190"/>
          <w:tab w:val="left" w:pos="9000"/>
          <w:tab w:val="left" w:pos="9090"/>
        </w:tabs>
        <w:rPr>
          <w:rFonts w:ascii="Arial" w:hAnsi="Arial"/>
          <w:u w:val="none"/>
          <w:shd w:val="clear" w:color="auto" w:fill="FFFFFF"/>
        </w:rPr>
      </w:pPr>
    </w:p>
    <w:p w14:paraId="5DA74860" w14:textId="77777777" w:rsidR="00C60340" w:rsidRDefault="00C60340" w:rsidP="00DE475D">
      <w:pPr>
        <w:pStyle w:val="Title"/>
        <w:tabs>
          <w:tab w:val="clear" w:pos="6480"/>
          <w:tab w:val="clear" w:pos="8640"/>
          <w:tab w:val="left" w:pos="6570"/>
          <w:tab w:val="left" w:pos="8190"/>
          <w:tab w:val="left" w:pos="9000"/>
          <w:tab w:val="left" w:pos="9090"/>
        </w:tabs>
        <w:rPr>
          <w:rFonts w:ascii="Arial" w:hAnsi="Arial"/>
          <w:u w:val="none"/>
          <w:shd w:val="clear" w:color="auto" w:fill="FFFFFF"/>
        </w:rPr>
      </w:pPr>
    </w:p>
    <w:p w14:paraId="7590793E" w14:textId="77777777" w:rsidR="00C60340" w:rsidRDefault="00C60340" w:rsidP="00DE475D">
      <w:pPr>
        <w:pStyle w:val="Title"/>
        <w:tabs>
          <w:tab w:val="clear" w:pos="6480"/>
          <w:tab w:val="clear" w:pos="8640"/>
          <w:tab w:val="left" w:pos="6570"/>
          <w:tab w:val="left" w:pos="8190"/>
          <w:tab w:val="left" w:pos="9000"/>
          <w:tab w:val="left" w:pos="9090"/>
        </w:tabs>
        <w:rPr>
          <w:rFonts w:ascii="Arial" w:hAnsi="Arial"/>
          <w:u w:val="none"/>
          <w:shd w:val="clear" w:color="auto" w:fill="FFFFFF"/>
        </w:rPr>
      </w:pPr>
    </w:p>
    <w:p w14:paraId="42882EB8" w14:textId="77777777" w:rsidR="009C51CF" w:rsidRPr="008B594D" w:rsidRDefault="009C51CF" w:rsidP="00DE475D">
      <w:pPr>
        <w:pStyle w:val="Title"/>
        <w:tabs>
          <w:tab w:val="clear" w:pos="6480"/>
          <w:tab w:val="clear" w:pos="8640"/>
          <w:tab w:val="left" w:pos="6570"/>
          <w:tab w:val="left" w:pos="8190"/>
          <w:tab w:val="left" w:pos="9000"/>
          <w:tab w:val="left" w:pos="9090"/>
        </w:tabs>
        <w:rPr>
          <w:rFonts w:ascii="Arial" w:hAnsi="Arial"/>
          <w:sz w:val="28"/>
          <w:szCs w:val="28"/>
          <w:u w:val="none"/>
          <w:shd w:val="clear" w:color="auto" w:fill="FFFFFF"/>
        </w:rPr>
      </w:pPr>
      <w:r w:rsidRPr="008B594D">
        <w:rPr>
          <w:rFonts w:ascii="Arial" w:hAnsi="Arial"/>
          <w:sz w:val="28"/>
          <w:szCs w:val="28"/>
          <w:u w:val="none"/>
          <w:shd w:val="clear" w:color="auto" w:fill="FFFFFF"/>
        </w:rPr>
        <w:t>MODIFICATION TO</w:t>
      </w:r>
    </w:p>
    <w:p w14:paraId="7D751198" w14:textId="77777777" w:rsidR="009C51CF" w:rsidRPr="008B594D" w:rsidRDefault="009C51CF" w:rsidP="00DE475D">
      <w:pPr>
        <w:pStyle w:val="Title"/>
        <w:tabs>
          <w:tab w:val="clear" w:pos="6480"/>
          <w:tab w:val="clear" w:pos="8640"/>
          <w:tab w:val="left" w:pos="6570"/>
          <w:tab w:val="left" w:pos="8190"/>
          <w:tab w:val="left" w:pos="9000"/>
          <w:tab w:val="left" w:pos="9090"/>
        </w:tabs>
        <w:rPr>
          <w:rFonts w:ascii="Arial" w:hAnsi="Arial"/>
          <w:sz w:val="28"/>
          <w:szCs w:val="28"/>
          <w:u w:val="none"/>
          <w:shd w:val="clear" w:color="auto" w:fill="FFFFFF"/>
        </w:rPr>
      </w:pPr>
      <w:r w:rsidRPr="008B594D">
        <w:rPr>
          <w:rFonts w:ascii="Arial" w:hAnsi="Arial"/>
          <w:sz w:val="28"/>
          <w:szCs w:val="28"/>
          <w:u w:val="none"/>
          <w:shd w:val="clear" w:color="auto" w:fill="FFFFFF"/>
        </w:rPr>
        <w:t>TENANT SELECTION PLAN</w:t>
      </w:r>
    </w:p>
    <w:p w14:paraId="0F3102BC" w14:textId="77777777" w:rsidR="009C51CF" w:rsidRPr="008B594D" w:rsidRDefault="009C51CF" w:rsidP="00DE475D">
      <w:pPr>
        <w:pStyle w:val="Title"/>
        <w:tabs>
          <w:tab w:val="clear" w:pos="6480"/>
          <w:tab w:val="clear" w:pos="8640"/>
          <w:tab w:val="left" w:pos="6570"/>
          <w:tab w:val="left" w:pos="8190"/>
          <w:tab w:val="left" w:pos="9000"/>
          <w:tab w:val="left" w:pos="9090"/>
        </w:tabs>
        <w:rPr>
          <w:rFonts w:ascii="Arial" w:hAnsi="Arial"/>
          <w:sz w:val="28"/>
          <w:szCs w:val="28"/>
          <w:u w:val="none"/>
          <w:shd w:val="clear" w:color="auto" w:fill="FFFFFF"/>
        </w:rPr>
      </w:pPr>
    </w:p>
    <w:p w14:paraId="6642AC5A" w14:textId="77777777" w:rsidR="009C51CF" w:rsidRPr="008B594D" w:rsidRDefault="009C51CF" w:rsidP="00DE475D">
      <w:pPr>
        <w:pStyle w:val="Title"/>
        <w:tabs>
          <w:tab w:val="clear" w:pos="6480"/>
          <w:tab w:val="clear" w:pos="8640"/>
          <w:tab w:val="left" w:pos="6570"/>
          <w:tab w:val="left" w:pos="8190"/>
          <w:tab w:val="left" w:pos="9000"/>
          <w:tab w:val="left" w:pos="9090"/>
        </w:tabs>
        <w:rPr>
          <w:rFonts w:ascii="Arial" w:hAnsi="Arial"/>
          <w:sz w:val="28"/>
          <w:szCs w:val="28"/>
          <w:u w:val="none"/>
          <w:shd w:val="clear" w:color="auto" w:fill="FFFFFF"/>
        </w:rPr>
      </w:pPr>
      <w:r w:rsidRPr="008B594D">
        <w:rPr>
          <w:rFonts w:ascii="Arial" w:hAnsi="Arial"/>
          <w:sz w:val="28"/>
          <w:szCs w:val="28"/>
          <w:u w:val="none"/>
          <w:shd w:val="clear" w:color="auto" w:fill="FFFFFF"/>
        </w:rPr>
        <w:t>DEVELOPMENT NAME:</w:t>
      </w:r>
    </w:p>
    <w:p w14:paraId="26DAF288" w14:textId="77777777" w:rsidR="009955E6" w:rsidRPr="008B594D" w:rsidRDefault="009955E6" w:rsidP="00DE475D">
      <w:pPr>
        <w:pStyle w:val="Title"/>
        <w:tabs>
          <w:tab w:val="clear" w:pos="6480"/>
          <w:tab w:val="clear" w:pos="8640"/>
          <w:tab w:val="left" w:pos="6570"/>
          <w:tab w:val="left" w:pos="8190"/>
          <w:tab w:val="left" w:pos="9000"/>
          <w:tab w:val="left" w:pos="9090"/>
        </w:tabs>
        <w:rPr>
          <w:rFonts w:ascii="Arial" w:hAnsi="Arial"/>
          <w:sz w:val="28"/>
          <w:szCs w:val="28"/>
          <w:u w:val="none"/>
          <w:shd w:val="clear" w:color="auto" w:fill="FFFFFF"/>
        </w:rPr>
      </w:pPr>
      <w:r w:rsidRPr="008B594D">
        <w:rPr>
          <w:rFonts w:ascii="Arial" w:hAnsi="Arial"/>
          <w:b w:val="0"/>
          <w:bCs/>
          <w:sz w:val="24"/>
          <w:u w:val="none"/>
        </w:rPr>
        <w:fldChar w:fldCharType="begin">
          <w:ffData>
            <w:name w:val="Project"/>
            <w:enabled/>
            <w:calcOnExit/>
            <w:textInput>
              <w:maxLength w:val="300"/>
            </w:textInput>
          </w:ffData>
        </w:fldChar>
      </w:r>
      <w:bookmarkStart w:id="0" w:name="Project"/>
      <w:r w:rsidRPr="008B594D">
        <w:rPr>
          <w:rFonts w:ascii="Arial" w:hAnsi="Arial"/>
          <w:b w:val="0"/>
          <w:bCs/>
          <w:sz w:val="24"/>
          <w:u w:val="none"/>
        </w:rPr>
        <w:instrText xml:space="preserve"> FORMTEXT </w:instrText>
      </w:r>
      <w:r w:rsidRPr="008B594D">
        <w:rPr>
          <w:rFonts w:ascii="Arial" w:hAnsi="Arial"/>
          <w:b w:val="0"/>
          <w:bCs/>
          <w:sz w:val="24"/>
          <w:u w:val="none"/>
        </w:rPr>
      </w:r>
      <w:r w:rsidRPr="008B594D">
        <w:rPr>
          <w:rFonts w:ascii="Arial" w:hAnsi="Arial"/>
          <w:b w:val="0"/>
          <w:bCs/>
          <w:sz w:val="24"/>
          <w:u w:val="none"/>
        </w:rPr>
        <w:fldChar w:fldCharType="separate"/>
      </w:r>
      <w:r w:rsidR="00B167D9">
        <w:rPr>
          <w:rFonts w:ascii="Arial" w:hAnsi="Arial"/>
          <w:b w:val="0"/>
          <w:bCs/>
          <w:noProof/>
          <w:sz w:val="24"/>
          <w:u w:val="none"/>
        </w:rPr>
        <w:t> </w:t>
      </w:r>
      <w:r w:rsidR="00B167D9">
        <w:rPr>
          <w:rFonts w:ascii="Arial" w:hAnsi="Arial"/>
          <w:b w:val="0"/>
          <w:bCs/>
          <w:noProof/>
          <w:sz w:val="24"/>
          <w:u w:val="none"/>
        </w:rPr>
        <w:t> </w:t>
      </w:r>
      <w:r w:rsidR="00B167D9">
        <w:rPr>
          <w:rFonts w:ascii="Arial" w:hAnsi="Arial"/>
          <w:b w:val="0"/>
          <w:bCs/>
          <w:noProof/>
          <w:sz w:val="24"/>
          <w:u w:val="none"/>
        </w:rPr>
        <w:t> </w:t>
      </w:r>
      <w:r w:rsidR="00B167D9">
        <w:rPr>
          <w:rFonts w:ascii="Arial" w:hAnsi="Arial"/>
          <w:b w:val="0"/>
          <w:bCs/>
          <w:noProof/>
          <w:sz w:val="24"/>
          <w:u w:val="none"/>
        </w:rPr>
        <w:t> </w:t>
      </w:r>
      <w:r w:rsidR="00B167D9">
        <w:rPr>
          <w:rFonts w:ascii="Arial" w:hAnsi="Arial"/>
          <w:b w:val="0"/>
          <w:bCs/>
          <w:noProof/>
          <w:sz w:val="24"/>
          <w:u w:val="none"/>
        </w:rPr>
        <w:t> </w:t>
      </w:r>
      <w:r w:rsidRPr="008B594D">
        <w:rPr>
          <w:rFonts w:ascii="Arial" w:hAnsi="Arial"/>
          <w:b w:val="0"/>
          <w:bCs/>
          <w:sz w:val="24"/>
          <w:u w:val="none"/>
        </w:rPr>
        <w:fldChar w:fldCharType="end"/>
      </w:r>
      <w:bookmarkEnd w:id="0"/>
    </w:p>
    <w:p w14:paraId="38970C38" w14:textId="77777777" w:rsidR="00BF52B9" w:rsidRPr="008B594D" w:rsidRDefault="00BF52B9" w:rsidP="00DE475D">
      <w:pPr>
        <w:pStyle w:val="Title"/>
        <w:tabs>
          <w:tab w:val="clear" w:pos="6480"/>
          <w:tab w:val="clear" w:pos="8640"/>
          <w:tab w:val="left" w:pos="6570"/>
          <w:tab w:val="left" w:pos="8190"/>
          <w:tab w:val="left" w:pos="9000"/>
          <w:tab w:val="left" w:pos="9090"/>
        </w:tabs>
        <w:rPr>
          <w:rFonts w:ascii="Arial" w:hAnsi="Arial"/>
          <w:sz w:val="28"/>
          <w:u w:val="none"/>
          <w:shd w:val="clear" w:color="auto" w:fill="FFFFFF"/>
        </w:rPr>
      </w:pPr>
    </w:p>
    <w:p w14:paraId="15BC9EC2" w14:textId="77777777" w:rsidR="009C51CF" w:rsidRPr="008B594D" w:rsidRDefault="009C51CF" w:rsidP="00DE475D">
      <w:pPr>
        <w:pStyle w:val="Title"/>
        <w:tabs>
          <w:tab w:val="clear" w:pos="6480"/>
          <w:tab w:val="clear" w:pos="8640"/>
          <w:tab w:val="left" w:pos="6570"/>
          <w:tab w:val="left" w:pos="8190"/>
          <w:tab w:val="left" w:pos="9000"/>
          <w:tab w:val="left" w:pos="9090"/>
        </w:tabs>
        <w:rPr>
          <w:rFonts w:ascii="Arial" w:hAnsi="Arial"/>
          <w:sz w:val="28"/>
          <w:u w:val="none"/>
          <w:shd w:val="clear" w:color="auto" w:fill="FFFFFF"/>
        </w:rPr>
      </w:pPr>
      <w:r w:rsidRPr="008B594D">
        <w:rPr>
          <w:rFonts w:ascii="Arial" w:hAnsi="Arial"/>
          <w:sz w:val="28"/>
          <w:szCs w:val="28"/>
          <w:u w:val="none"/>
          <w:shd w:val="clear" w:color="auto" w:fill="FFFFFF"/>
        </w:rPr>
        <w:t xml:space="preserve">MassHousing No.: </w:t>
      </w:r>
      <w:r w:rsidR="00BF52B9" w:rsidRPr="008B594D">
        <w:rPr>
          <w:rFonts w:ascii="Arial" w:hAnsi="Arial"/>
          <w:b w:val="0"/>
          <w:bCs/>
          <w:sz w:val="24"/>
          <w:u w:val="none"/>
        </w:rPr>
        <w:fldChar w:fldCharType="begin">
          <w:ffData>
            <w:name w:val="ProjNo"/>
            <w:enabled/>
            <w:calcOnExit/>
            <w:textInput>
              <w:maxLength w:val="6"/>
            </w:textInput>
          </w:ffData>
        </w:fldChar>
      </w:r>
      <w:bookmarkStart w:id="1" w:name="ProjNo"/>
      <w:r w:rsidR="00BF52B9" w:rsidRPr="008B594D">
        <w:rPr>
          <w:rFonts w:ascii="Arial" w:hAnsi="Arial"/>
          <w:b w:val="0"/>
          <w:bCs/>
          <w:sz w:val="24"/>
          <w:u w:val="none"/>
        </w:rPr>
        <w:instrText xml:space="preserve"> FORMTEXT </w:instrText>
      </w:r>
      <w:r w:rsidR="00BF52B9" w:rsidRPr="008B594D">
        <w:rPr>
          <w:rFonts w:ascii="Arial" w:hAnsi="Arial"/>
          <w:b w:val="0"/>
          <w:bCs/>
          <w:sz w:val="24"/>
          <w:u w:val="none"/>
        </w:rPr>
      </w:r>
      <w:r w:rsidR="00BF52B9" w:rsidRPr="008B594D">
        <w:rPr>
          <w:rFonts w:ascii="Arial" w:hAnsi="Arial"/>
          <w:b w:val="0"/>
          <w:bCs/>
          <w:sz w:val="24"/>
          <w:u w:val="none"/>
        </w:rPr>
        <w:fldChar w:fldCharType="separate"/>
      </w:r>
      <w:r w:rsidR="00B167D9">
        <w:rPr>
          <w:rFonts w:ascii="Arial" w:hAnsi="Arial"/>
          <w:b w:val="0"/>
          <w:bCs/>
          <w:noProof/>
          <w:sz w:val="24"/>
          <w:u w:val="none"/>
        </w:rPr>
        <w:t> </w:t>
      </w:r>
      <w:r w:rsidR="00B167D9">
        <w:rPr>
          <w:rFonts w:ascii="Arial" w:hAnsi="Arial"/>
          <w:b w:val="0"/>
          <w:bCs/>
          <w:noProof/>
          <w:sz w:val="24"/>
          <w:u w:val="none"/>
        </w:rPr>
        <w:t> </w:t>
      </w:r>
      <w:r w:rsidR="00B167D9">
        <w:rPr>
          <w:rFonts w:ascii="Arial" w:hAnsi="Arial"/>
          <w:b w:val="0"/>
          <w:bCs/>
          <w:noProof/>
          <w:sz w:val="24"/>
          <w:u w:val="none"/>
        </w:rPr>
        <w:t> </w:t>
      </w:r>
      <w:r w:rsidR="00B167D9">
        <w:rPr>
          <w:rFonts w:ascii="Arial" w:hAnsi="Arial"/>
          <w:b w:val="0"/>
          <w:bCs/>
          <w:noProof/>
          <w:sz w:val="24"/>
          <w:u w:val="none"/>
        </w:rPr>
        <w:t> </w:t>
      </w:r>
      <w:r w:rsidR="00B167D9">
        <w:rPr>
          <w:rFonts w:ascii="Arial" w:hAnsi="Arial"/>
          <w:b w:val="0"/>
          <w:bCs/>
          <w:noProof/>
          <w:sz w:val="24"/>
          <w:u w:val="none"/>
        </w:rPr>
        <w:t> </w:t>
      </w:r>
      <w:r w:rsidR="00BF52B9" w:rsidRPr="008B594D">
        <w:rPr>
          <w:rFonts w:ascii="Arial" w:hAnsi="Arial"/>
          <w:b w:val="0"/>
          <w:bCs/>
          <w:sz w:val="24"/>
          <w:u w:val="none"/>
        </w:rPr>
        <w:fldChar w:fldCharType="end"/>
      </w:r>
      <w:bookmarkEnd w:id="1"/>
    </w:p>
    <w:p w14:paraId="002326DD" w14:textId="77777777" w:rsidR="009C51CF" w:rsidRPr="008B594D" w:rsidRDefault="009C51CF" w:rsidP="00DE475D">
      <w:pPr>
        <w:widowControl/>
        <w:shd w:val="clear" w:color="000000" w:fill="FFFFFF"/>
        <w:tabs>
          <w:tab w:val="left" w:pos="1440"/>
          <w:tab w:val="left" w:pos="2160"/>
          <w:tab w:val="left" w:pos="2880"/>
          <w:tab w:val="left" w:pos="3600"/>
          <w:tab w:val="left" w:pos="4320"/>
          <w:tab w:val="left" w:pos="5040"/>
          <w:tab w:val="left" w:pos="5760"/>
          <w:tab w:val="left" w:pos="6570"/>
          <w:tab w:val="left" w:pos="7200"/>
          <w:tab w:val="left" w:pos="7920"/>
          <w:tab w:val="left" w:pos="8640"/>
        </w:tabs>
        <w:ind w:left="2160" w:hanging="2160"/>
        <w:jc w:val="both"/>
        <w:rPr>
          <w:u w:val="none"/>
        </w:rPr>
      </w:pPr>
    </w:p>
    <w:p w14:paraId="5F968A1B" w14:textId="77777777" w:rsidR="009C51CF" w:rsidRPr="008B594D" w:rsidRDefault="009C51CF" w:rsidP="00DE475D">
      <w:pPr>
        <w:widowControl/>
        <w:shd w:val="clear" w:color="000000" w:fill="FFFFFF"/>
        <w:tabs>
          <w:tab w:val="left" w:pos="1440"/>
          <w:tab w:val="left" w:pos="2160"/>
          <w:tab w:val="left" w:pos="2880"/>
          <w:tab w:val="left" w:pos="3600"/>
          <w:tab w:val="left" w:pos="4320"/>
          <w:tab w:val="left" w:pos="5040"/>
          <w:tab w:val="left" w:pos="5760"/>
          <w:tab w:val="left" w:pos="6570"/>
          <w:tab w:val="left" w:pos="7200"/>
          <w:tab w:val="left" w:pos="7920"/>
          <w:tab w:val="left" w:pos="8640"/>
        </w:tabs>
        <w:ind w:left="2160" w:hanging="2160"/>
        <w:jc w:val="both"/>
        <w:rPr>
          <w:u w:val="none"/>
        </w:rPr>
      </w:pPr>
    </w:p>
    <w:p w14:paraId="2D3D12E4" w14:textId="41D9E583" w:rsidR="009C51CF" w:rsidRPr="008B594D" w:rsidRDefault="009C51CF" w:rsidP="008E397B">
      <w:pPr>
        <w:pStyle w:val="Title"/>
        <w:tabs>
          <w:tab w:val="clear" w:pos="6480"/>
          <w:tab w:val="clear" w:pos="8640"/>
          <w:tab w:val="left" w:pos="6570"/>
          <w:tab w:val="left" w:pos="8190"/>
          <w:tab w:val="left" w:pos="9000"/>
          <w:tab w:val="left" w:pos="9090"/>
        </w:tabs>
        <w:ind w:right="180"/>
        <w:jc w:val="both"/>
        <w:rPr>
          <w:rFonts w:ascii="Arial" w:hAnsi="Arial"/>
          <w:b w:val="0"/>
          <w:bCs/>
          <w:sz w:val="24"/>
          <w:u w:val="none"/>
        </w:rPr>
      </w:pPr>
      <w:r w:rsidRPr="008B594D">
        <w:rPr>
          <w:rFonts w:ascii="Arial" w:hAnsi="Arial"/>
          <w:b w:val="0"/>
          <w:bCs/>
          <w:sz w:val="24"/>
          <w:u w:val="none"/>
        </w:rPr>
        <w:t xml:space="preserve">This Modification to Tenant Selection Plan (the “Modification”), effective as of </w:t>
      </w:r>
      <w:bookmarkStart w:id="2" w:name="_Hlk162969803"/>
      <w:r w:rsidRPr="008B594D">
        <w:rPr>
          <w:rFonts w:ascii="Arial" w:hAnsi="Arial"/>
          <w:b w:val="0"/>
          <w:bCs/>
          <w:sz w:val="24"/>
          <w:u w:val="none"/>
        </w:rPr>
        <w:fldChar w:fldCharType="begin">
          <w:ffData>
            <w:name w:val="YearDate"/>
            <w:enabled/>
            <w:calcOnExit/>
            <w:textInput>
              <w:maxLength w:val="20"/>
            </w:textInput>
          </w:ffData>
        </w:fldChar>
      </w:r>
      <w:r w:rsidRPr="008B594D">
        <w:rPr>
          <w:rFonts w:ascii="Arial" w:hAnsi="Arial"/>
          <w:b w:val="0"/>
          <w:bCs/>
          <w:sz w:val="24"/>
          <w:u w:val="none"/>
        </w:rPr>
        <w:instrText xml:space="preserve"> FORMTEXT </w:instrText>
      </w:r>
      <w:r w:rsidRPr="008B594D">
        <w:rPr>
          <w:rFonts w:ascii="Arial" w:hAnsi="Arial"/>
          <w:b w:val="0"/>
          <w:bCs/>
          <w:sz w:val="24"/>
          <w:u w:val="none"/>
        </w:rPr>
      </w:r>
      <w:r w:rsidRPr="008B594D">
        <w:rPr>
          <w:rFonts w:ascii="Arial" w:hAnsi="Arial"/>
          <w:b w:val="0"/>
          <w:bCs/>
          <w:sz w:val="24"/>
          <w:u w:val="none"/>
        </w:rPr>
        <w:fldChar w:fldCharType="separate"/>
      </w:r>
      <w:r w:rsidR="009471B8">
        <w:rPr>
          <w:rFonts w:ascii="Arial" w:hAnsi="Arial"/>
          <w:b w:val="0"/>
          <w:bCs/>
          <w:noProof/>
          <w:sz w:val="24"/>
          <w:u w:val="none"/>
        </w:rPr>
        <w:t> </w:t>
      </w:r>
      <w:r w:rsidR="009471B8">
        <w:rPr>
          <w:rFonts w:ascii="Arial" w:hAnsi="Arial"/>
          <w:b w:val="0"/>
          <w:bCs/>
          <w:noProof/>
          <w:sz w:val="24"/>
          <w:u w:val="none"/>
        </w:rPr>
        <w:t> </w:t>
      </w:r>
      <w:r w:rsidR="009471B8">
        <w:rPr>
          <w:rFonts w:ascii="Arial" w:hAnsi="Arial"/>
          <w:b w:val="0"/>
          <w:bCs/>
          <w:noProof/>
          <w:sz w:val="24"/>
          <w:u w:val="none"/>
        </w:rPr>
        <w:t> </w:t>
      </w:r>
      <w:r w:rsidR="009471B8">
        <w:rPr>
          <w:rFonts w:ascii="Arial" w:hAnsi="Arial"/>
          <w:b w:val="0"/>
          <w:bCs/>
          <w:noProof/>
          <w:sz w:val="24"/>
          <w:u w:val="none"/>
        </w:rPr>
        <w:t> </w:t>
      </w:r>
      <w:r w:rsidR="009471B8">
        <w:rPr>
          <w:rFonts w:ascii="Arial" w:hAnsi="Arial"/>
          <w:b w:val="0"/>
          <w:bCs/>
          <w:noProof/>
          <w:sz w:val="24"/>
          <w:u w:val="none"/>
        </w:rPr>
        <w:t> </w:t>
      </w:r>
      <w:r w:rsidRPr="008B594D">
        <w:rPr>
          <w:rFonts w:ascii="Arial" w:hAnsi="Arial"/>
          <w:b w:val="0"/>
          <w:bCs/>
          <w:sz w:val="24"/>
          <w:u w:val="none"/>
        </w:rPr>
        <w:fldChar w:fldCharType="end"/>
      </w:r>
      <w:bookmarkEnd w:id="2"/>
      <w:r w:rsidRPr="008B594D">
        <w:rPr>
          <w:rFonts w:ascii="Arial" w:hAnsi="Arial"/>
          <w:b w:val="0"/>
          <w:bCs/>
          <w:sz w:val="24"/>
          <w:u w:val="none"/>
        </w:rPr>
        <w:t xml:space="preserve">,  modifies a Tenant Selection Plan (the “Plan”), for </w:t>
      </w:r>
      <w:r w:rsidR="00BF52B9" w:rsidRPr="008B594D">
        <w:rPr>
          <w:rFonts w:ascii="Arial" w:hAnsi="Arial"/>
          <w:b w:val="0"/>
          <w:bCs/>
          <w:sz w:val="24"/>
          <w:u w:val="none"/>
        </w:rPr>
        <w:fldChar w:fldCharType="begin"/>
      </w:r>
      <w:r w:rsidR="00BF52B9" w:rsidRPr="008B594D">
        <w:rPr>
          <w:rFonts w:ascii="Arial" w:hAnsi="Arial"/>
          <w:b w:val="0"/>
          <w:bCs/>
          <w:sz w:val="24"/>
          <w:u w:val="none"/>
        </w:rPr>
        <w:instrText>REF Project</w:instrText>
      </w:r>
      <w:r w:rsidR="00BF52B9" w:rsidRPr="008B594D">
        <w:rPr>
          <w:rFonts w:ascii="Arial" w:hAnsi="Arial"/>
          <w:b w:val="0"/>
          <w:bCs/>
          <w:sz w:val="24"/>
          <w:u w:val="none"/>
        </w:rPr>
        <w:fldChar w:fldCharType="separate"/>
      </w:r>
      <w:r w:rsidR="00ED755E">
        <w:rPr>
          <w:bCs/>
          <w:noProof/>
          <w:u w:val="none"/>
        </w:rPr>
        <w:t xml:space="preserve">     </w:t>
      </w:r>
      <w:r w:rsidR="00BF52B9" w:rsidRPr="008B594D">
        <w:rPr>
          <w:rFonts w:ascii="Arial" w:hAnsi="Arial"/>
          <w:b w:val="0"/>
          <w:bCs/>
          <w:sz w:val="24"/>
          <w:u w:val="none"/>
        </w:rPr>
        <w:fldChar w:fldCharType="end"/>
      </w:r>
      <w:r w:rsidR="00BF52B9" w:rsidRPr="008B594D">
        <w:rPr>
          <w:rFonts w:ascii="Arial" w:hAnsi="Arial"/>
          <w:b w:val="0"/>
          <w:bCs/>
          <w:sz w:val="24"/>
          <w:u w:val="none"/>
        </w:rPr>
        <w:t xml:space="preserve"> </w:t>
      </w:r>
      <w:r w:rsidRPr="008B594D">
        <w:rPr>
          <w:rFonts w:ascii="Arial" w:hAnsi="Arial"/>
          <w:b w:val="0"/>
          <w:bCs/>
          <w:sz w:val="24"/>
          <w:u w:val="none"/>
        </w:rPr>
        <w:t xml:space="preserve">(the “Development”), dated as of </w:t>
      </w:r>
      <w:r w:rsidRPr="008B594D">
        <w:rPr>
          <w:rFonts w:ascii="Arial" w:hAnsi="Arial"/>
          <w:b w:val="0"/>
          <w:bCs/>
          <w:sz w:val="24"/>
          <w:u w:val="none"/>
        </w:rPr>
        <w:fldChar w:fldCharType="begin">
          <w:ffData>
            <w:name w:val="YearDate2"/>
            <w:enabled/>
            <w:calcOnExit/>
            <w:textInput>
              <w:maxLength w:val="20"/>
            </w:textInput>
          </w:ffData>
        </w:fldChar>
      </w:r>
      <w:r w:rsidRPr="008B594D">
        <w:rPr>
          <w:rFonts w:ascii="Arial" w:hAnsi="Arial"/>
          <w:b w:val="0"/>
          <w:bCs/>
          <w:sz w:val="24"/>
          <w:u w:val="none"/>
        </w:rPr>
        <w:instrText xml:space="preserve"> FORMTEXT </w:instrText>
      </w:r>
      <w:r w:rsidRPr="008B594D">
        <w:rPr>
          <w:rFonts w:ascii="Arial" w:hAnsi="Arial"/>
          <w:b w:val="0"/>
          <w:bCs/>
          <w:sz w:val="24"/>
          <w:u w:val="none"/>
        </w:rPr>
      </w:r>
      <w:r w:rsidRPr="008B594D">
        <w:rPr>
          <w:rFonts w:ascii="Arial" w:hAnsi="Arial"/>
          <w:b w:val="0"/>
          <w:bCs/>
          <w:sz w:val="24"/>
          <w:u w:val="none"/>
        </w:rPr>
        <w:fldChar w:fldCharType="separate"/>
      </w:r>
      <w:r w:rsidR="009471B8">
        <w:rPr>
          <w:rFonts w:ascii="Arial" w:hAnsi="Arial"/>
          <w:b w:val="0"/>
          <w:bCs/>
          <w:noProof/>
          <w:sz w:val="24"/>
          <w:u w:val="none"/>
        </w:rPr>
        <w:t> </w:t>
      </w:r>
      <w:r w:rsidR="009471B8">
        <w:rPr>
          <w:rFonts w:ascii="Arial" w:hAnsi="Arial"/>
          <w:b w:val="0"/>
          <w:bCs/>
          <w:noProof/>
          <w:sz w:val="24"/>
          <w:u w:val="none"/>
        </w:rPr>
        <w:t> </w:t>
      </w:r>
      <w:r w:rsidR="009471B8">
        <w:rPr>
          <w:rFonts w:ascii="Arial" w:hAnsi="Arial"/>
          <w:b w:val="0"/>
          <w:bCs/>
          <w:noProof/>
          <w:sz w:val="24"/>
          <w:u w:val="none"/>
        </w:rPr>
        <w:t> </w:t>
      </w:r>
      <w:r w:rsidR="009471B8">
        <w:rPr>
          <w:rFonts w:ascii="Arial" w:hAnsi="Arial"/>
          <w:b w:val="0"/>
          <w:bCs/>
          <w:noProof/>
          <w:sz w:val="24"/>
          <w:u w:val="none"/>
        </w:rPr>
        <w:t> </w:t>
      </w:r>
      <w:r w:rsidR="009471B8">
        <w:rPr>
          <w:rFonts w:ascii="Arial" w:hAnsi="Arial"/>
          <w:b w:val="0"/>
          <w:bCs/>
          <w:noProof/>
          <w:sz w:val="24"/>
          <w:u w:val="none"/>
        </w:rPr>
        <w:t> </w:t>
      </w:r>
      <w:r w:rsidRPr="008B594D">
        <w:rPr>
          <w:rFonts w:ascii="Arial" w:hAnsi="Arial"/>
          <w:b w:val="0"/>
          <w:bCs/>
          <w:sz w:val="24"/>
          <w:u w:val="none"/>
        </w:rPr>
        <w:fldChar w:fldCharType="end"/>
      </w:r>
      <w:r w:rsidRPr="008B594D">
        <w:rPr>
          <w:rFonts w:ascii="Arial" w:hAnsi="Arial"/>
          <w:b w:val="0"/>
          <w:bCs/>
          <w:sz w:val="24"/>
          <w:u w:val="none"/>
        </w:rPr>
        <w:t xml:space="preserve">, as prepared by </w:t>
      </w:r>
      <w:r w:rsidR="0092027D" w:rsidRPr="008B594D">
        <w:rPr>
          <w:rFonts w:ascii="Arial" w:hAnsi="Arial"/>
          <w:b w:val="0"/>
          <w:bCs/>
          <w:sz w:val="24"/>
          <w:u w:val="none"/>
        </w:rPr>
        <w:fldChar w:fldCharType="begin">
          <w:ffData>
            <w:name w:val="TheAgent"/>
            <w:enabled/>
            <w:calcOnExit/>
            <w:textInput>
              <w:maxLength w:val="75"/>
              <w:format w:val="TITLE CASE"/>
            </w:textInput>
          </w:ffData>
        </w:fldChar>
      </w:r>
      <w:bookmarkStart w:id="3" w:name="TheAgent"/>
      <w:r w:rsidR="0092027D" w:rsidRPr="008B594D">
        <w:rPr>
          <w:rFonts w:ascii="Arial" w:hAnsi="Arial"/>
          <w:b w:val="0"/>
          <w:bCs/>
          <w:sz w:val="24"/>
          <w:u w:val="none"/>
        </w:rPr>
        <w:instrText xml:space="preserve"> FORMTEXT </w:instrText>
      </w:r>
      <w:r w:rsidR="0092027D" w:rsidRPr="008B594D">
        <w:rPr>
          <w:rFonts w:ascii="Arial" w:hAnsi="Arial"/>
          <w:b w:val="0"/>
          <w:bCs/>
          <w:sz w:val="24"/>
          <w:u w:val="none"/>
        </w:rPr>
      </w:r>
      <w:r w:rsidR="0092027D" w:rsidRPr="008B594D">
        <w:rPr>
          <w:rFonts w:ascii="Arial" w:hAnsi="Arial"/>
          <w:b w:val="0"/>
          <w:bCs/>
          <w:sz w:val="24"/>
          <w:u w:val="none"/>
        </w:rPr>
        <w:fldChar w:fldCharType="separate"/>
      </w:r>
      <w:r w:rsidR="00B167D9">
        <w:rPr>
          <w:rFonts w:ascii="Arial" w:hAnsi="Arial"/>
          <w:b w:val="0"/>
          <w:bCs/>
          <w:noProof/>
          <w:sz w:val="24"/>
          <w:u w:val="none"/>
        </w:rPr>
        <w:t> </w:t>
      </w:r>
      <w:r w:rsidR="00B167D9">
        <w:rPr>
          <w:rFonts w:ascii="Arial" w:hAnsi="Arial"/>
          <w:b w:val="0"/>
          <w:bCs/>
          <w:noProof/>
          <w:sz w:val="24"/>
          <w:u w:val="none"/>
        </w:rPr>
        <w:t> </w:t>
      </w:r>
      <w:r w:rsidR="00B167D9">
        <w:rPr>
          <w:rFonts w:ascii="Arial" w:hAnsi="Arial"/>
          <w:b w:val="0"/>
          <w:bCs/>
          <w:noProof/>
          <w:sz w:val="24"/>
          <w:u w:val="none"/>
        </w:rPr>
        <w:t> </w:t>
      </w:r>
      <w:r w:rsidR="00B167D9">
        <w:rPr>
          <w:rFonts w:ascii="Arial" w:hAnsi="Arial"/>
          <w:b w:val="0"/>
          <w:bCs/>
          <w:noProof/>
          <w:sz w:val="24"/>
          <w:u w:val="none"/>
        </w:rPr>
        <w:t> </w:t>
      </w:r>
      <w:r w:rsidR="00B167D9">
        <w:rPr>
          <w:rFonts w:ascii="Arial" w:hAnsi="Arial"/>
          <w:b w:val="0"/>
          <w:bCs/>
          <w:noProof/>
          <w:sz w:val="24"/>
          <w:u w:val="none"/>
        </w:rPr>
        <w:t> </w:t>
      </w:r>
      <w:r w:rsidR="0092027D" w:rsidRPr="008B594D">
        <w:rPr>
          <w:rFonts w:ascii="Arial" w:hAnsi="Arial"/>
          <w:b w:val="0"/>
          <w:bCs/>
          <w:sz w:val="24"/>
          <w:u w:val="none"/>
        </w:rPr>
        <w:fldChar w:fldCharType="end"/>
      </w:r>
      <w:bookmarkEnd w:id="3"/>
      <w:r w:rsidRPr="008B594D">
        <w:rPr>
          <w:rFonts w:ascii="Arial" w:hAnsi="Arial"/>
          <w:b w:val="0"/>
          <w:bCs/>
          <w:sz w:val="24"/>
          <w:u w:val="none"/>
        </w:rPr>
        <w:t xml:space="preserve"> (the “Agent”), as the management agent for </w:t>
      </w:r>
      <w:r w:rsidR="0092027D" w:rsidRPr="008B594D">
        <w:rPr>
          <w:rFonts w:ascii="Arial" w:hAnsi="Arial"/>
          <w:b w:val="0"/>
          <w:bCs/>
          <w:sz w:val="24"/>
          <w:u w:val="none"/>
        </w:rPr>
        <w:fldChar w:fldCharType="begin">
          <w:ffData>
            <w:name w:val="TheOwner"/>
            <w:enabled/>
            <w:calcOnExit/>
            <w:textInput>
              <w:maxLength w:val="75"/>
              <w:format w:val="TITLE CASE"/>
            </w:textInput>
          </w:ffData>
        </w:fldChar>
      </w:r>
      <w:bookmarkStart w:id="4" w:name="TheOwner"/>
      <w:r w:rsidR="0092027D" w:rsidRPr="008B594D">
        <w:rPr>
          <w:rFonts w:ascii="Arial" w:hAnsi="Arial"/>
          <w:b w:val="0"/>
          <w:bCs/>
          <w:sz w:val="24"/>
          <w:u w:val="none"/>
        </w:rPr>
        <w:instrText xml:space="preserve"> FORMTEXT </w:instrText>
      </w:r>
      <w:r w:rsidR="0092027D" w:rsidRPr="008B594D">
        <w:rPr>
          <w:rFonts w:ascii="Arial" w:hAnsi="Arial"/>
          <w:b w:val="0"/>
          <w:bCs/>
          <w:sz w:val="24"/>
          <w:u w:val="none"/>
        </w:rPr>
      </w:r>
      <w:r w:rsidR="0092027D" w:rsidRPr="008B594D">
        <w:rPr>
          <w:rFonts w:ascii="Arial" w:hAnsi="Arial"/>
          <w:b w:val="0"/>
          <w:bCs/>
          <w:sz w:val="24"/>
          <w:u w:val="none"/>
        </w:rPr>
        <w:fldChar w:fldCharType="separate"/>
      </w:r>
      <w:r w:rsidR="009471B8">
        <w:rPr>
          <w:rFonts w:ascii="Arial" w:hAnsi="Arial"/>
          <w:b w:val="0"/>
          <w:bCs/>
          <w:noProof/>
          <w:sz w:val="24"/>
          <w:u w:val="none"/>
        </w:rPr>
        <w:t> </w:t>
      </w:r>
      <w:r w:rsidR="009471B8">
        <w:rPr>
          <w:rFonts w:ascii="Arial" w:hAnsi="Arial"/>
          <w:b w:val="0"/>
          <w:bCs/>
          <w:noProof/>
          <w:sz w:val="24"/>
          <w:u w:val="none"/>
        </w:rPr>
        <w:t> </w:t>
      </w:r>
      <w:r w:rsidR="009471B8">
        <w:rPr>
          <w:rFonts w:ascii="Arial" w:hAnsi="Arial"/>
          <w:b w:val="0"/>
          <w:bCs/>
          <w:noProof/>
          <w:sz w:val="24"/>
          <w:u w:val="none"/>
        </w:rPr>
        <w:t> </w:t>
      </w:r>
      <w:r w:rsidR="009471B8">
        <w:rPr>
          <w:rFonts w:ascii="Arial" w:hAnsi="Arial"/>
          <w:b w:val="0"/>
          <w:bCs/>
          <w:noProof/>
          <w:sz w:val="24"/>
          <w:u w:val="none"/>
        </w:rPr>
        <w:t> </w:t>
      </w:r>
      <w:r w:rsidR="009471B8">
        <w:rPr>
          <w:rFonts w:ascii="Arial" w:hAnsi="Arial"/>
          <w:b w:val="0"/>
          <w:bCs/>
          <w:noProof/>
          <w:sz w:val="24"/>
          <w:u w:val="none"/>
        </w:rPr>
        <w:t> </w:t>
      </w:r>
      <w:r w:rsidR="0092027D" w:rsidRPr="008B594D">
        <w:rPr>
          <w:rFonts w:ascii="Arial" w:hAnsi="Arial"/>
          <w:b w:val="0"/>
          <w:bCs/>
          <w:sz w:val="24"/>
          <w:u w:val="none"/>
        </w:rPr>
        <w:fldChar w:fldCharType="end"/>
      </w:r>
      <w:bookmarkEnd w:id="4"/>
      <w:r w:rsidRPr="008B594D">
        <w:rPr>
          <w:rFonts w:ascii="Arial" w:hAnsi="Arial"/>
          <w:b w:val="0"/>
          <w:bCs/>
          <w:sz w:val="24"/>
          <w:u w:val="none"/>
        </w:rPr>
        <w:t xml:space="preserve"> (the “Owner”), as follows:</w:t>
      </w:r>
    </w:p>
    <w:p w14:paraId="1B0A77F7" w14:textId="77777777" w:rsidR="009C51CF" w:rsidRPr="008B594D" w:rsidRDefault="009C51CF" w:rsidP="008E397B">
      <w:pPr>
        <w:ind w:right="180"/>
        <w:rPr>
          <w:u w:val="none"/>
        </w:rPr>
      </w:pPr>
    </w:p>
    <w:p w14:paraId="7BA90EFA" w14:textId="77777777" w:rsidR="009C51CF" w:rsidRPr="008B594D" w:rsidRDefault="009C51CF" w:rsidP="008E397B">
      <w:pPr>
        <w:ind w:right="180"/>
        <w:jc w:val="both"/>
        <w:rPr>
          <w:u w:val="none"/>
        </w:rPr>
      </w:pPr>
    </w:p>
    <w:p w14:paraId="1FB07B44" w14:textId="77777777" w:rsidR="009C51CF" w:rsidRPr="008B594D" w:rsidRDefault="009C51CF" w:rsidP="008E397B">
      <w:pPr>
        <w:pStyle w:val="ListParagraph"/>
        <w:numPr>
          <w:ilvl w:val="0"/>
          <w:numId w:val="1"/>
        </w:numPr>
        <w:ind w:right="180"/>
        <w:jc w:val="both"/>
        <w:rPr>
          <w:u w:val="none"/>
        </w:rPr>
      </w:pPr>
      <w:r w:rsidRPr="008B594D">
        <w:rPr>
          <w:u w:val="none"/>
        </w:rPr>
        <w:t xml:space="preserve">Add to the Plan, as Attachment </w:t>
      </w:r>
      <w:r w:rsidR="001E3C5B" w:rsidRPr="008B594D">
        <w:rPr>
          <w:u w:val="none"/>
        </w:rPr>
        <w:fldChar w:fldCharType="begin">
          <w:ffData>
            <w:name w:val="Bxx"/>
            <w:enabled/>
            <w:calcOnExit/>
            <w:textInput>
              <w:maxLength w:val="3"/>
            </w:textInput>
          </w:ffData>
        </w:fldChar>
      </w:r>
      <w:bookmarkStart w:id="5" w:name="Bxx"/>
      <w:r w:rsidR="001E3C5B" w:rsidRPr="008B594D">
        <w:rPr>
          <w:u w:val="none"/>
        </w:rPr>
        <w:instrText xml:space="preserve"> FORMTEXT </w:instrText>
      </w:r>
      <w:r w:rsidR="001E3C5B" w:rsidRPr="008B594D">
        <w:rPr>
          <w:u w:val="none"/>
        </w:rPr>
      </w:r>
      <w:r w:rsidR="001E3C5B" w:rsidRPr="008B594D">
        <w:rPr>
          <w:u w:val="none"/>
        </w:rPr>
        <w:fldChar w:fldCharType="separate"/>
      </w:r>
      <w:r w:rsidR="009471B8">
        <w:rPr>
          <w:noProof/>
          <w:u w:val="none"/>
        </w:rPr>
        <w:t> </w:t>
      </w:r>
      <w:r w:rsidR="009471B8">
        <w:rPr>
          <w:noProof/>
          <w:u w:val="none"/>
        </w:rPr>
        <w:t> </w:t>
      </w:r>
      <w:r w:rsidR="009471B8">
        <w:rPr>
          <w:noProof/>
          <w:u w:val="none"/>
        </w:rPr>
        <w:t> </w:t>
      </w:r>
      <w:r w:rsidR="001E3C5B" w:rsidRPr="008B594D">
        <w:rPr>
          <w:u w:val="none"/>
        </w:rPr>
        <w:fldChar w:fldCharType="end"/>
      </w:r>
      <w:bookmarkEnd w:id="5"/>
      <w:r w:rsidRPr="008B594D">
        <w:rPr>
          <w:u w:val="none"/>
        </w:rPr>
        <w:t xml:space="preserve"> [</w:t>
      </w:r>
      <w:r w:rsidRPr="008B594D">
        <w:rPr>
          <w:i/>
          <w:iCs/>
          <w:u w:val="none"/>
        </w:rPr>
        <w:t>Insert next attachment letter</w:t>
      </w:r>
      <w:r w:rsidRPr="008B594D">
        <w:rPr>
          <w:u w:val="none"/>
        </w:rPr>
        <w:t xml:space="preserve">], the “Additional List of Required and Discretionary Policies” annexed hereto. This Modification is intended to incorporate requirements of sections 102 and 104 of the Housing Opportunity through Modernization Act of 2016 (HOTMA), which includes changes to income calculation, net family assets, and income reviews. To the extent this attachment conflicts with any part of the Plan (including section (c)(1)(b)) of the Tenant Selection Plan Reference Guide, this Modification shall prevail. </w:t>
      </w:r>
    </w:p>
    <w:p w14:paraId="5075AFA7" w14:textId="77777777" w:rsidR="009C51CF" w:rsidRPr="008B594D" w:rsidRDefault="009C51CF" w:rsidP="008E397B">
      <w:pPr>
        <w:pStyle w:val="ListParagraph"/>
        <w:ind w:left="1080" w:right="180"/>
        <w:jc w:val="both"/>
        <w:rPr>
          <w:u w:val="none"/>
        </w:rPr>
      </w:pPr>
    </w:p>
    <w:p w14:paraId="4DE06C3D" w14:textId="77777777" w:rsidR="009C51CF" w:rsidRPr="008B594D" w:rsidRDefault="009C51CF" w:rsidP="008E397B">
      <w:pPr>
        <w:pStyle w:val="ListParagraph"/>
        <w:ind w:left="1080" w:right="180"/>
        <w:jc w:val="both"/>
        <w:rPr>
          <w:u w:val="none"/>
        </w:rPr>
      </w:pPr>
    </w:p>
    <w:p w14:paraId="35A54072" w14:textId="77777777" w:rsidR="009C51CF" w:rsidRPr="008B594D" w:rsidRDefault="009C51CF" w:rsidP="008E397B">
      <w:pPr>
        <w:pStyle w:val="ListParagraph"/>
        <w:ind w:left="1080" w:right="180"/>
        <w:jc w:val="both"/>
        <w:rPr>
          <w:u w:val="none"/>
        </w:rPr>
      </w:pPr>
    </w:p>
    <w:p w14:paraId="1FA6188D" w14:textId="77777777" w:rsidR="009C51CF" w:rsidRPr="008B594D" w:rsidRDefault="009C51CF" w:rsidP="008E397B">
      <w:pPr>
        <w:pStyle w:val="ListParagraph"/>
        <w:ind w:left="1080" w:right="180"/>
        <w:jc w:val="both"/>
        <w:rPr>
          <w:i/>
          <w:u w:val="none"/>
        </w:rPr>
      </w:pPr>
      <w:r w:rsidRPr="008B594D">
        <w:rPr>
          <w:i/>
          <w:u w:val="none"/>
        </w:rPr>
        <w:t>[The remainder of this page is intentionally blank.  Signature page follows.]</w:t>
      </w:r>
    </w:p>
    <w:p w14:paraId="4208A979" w14:textId="77777777" w:rsidR="000339BC" w:rsidRPr="008B594D" w:rsidRDefault="000339BC" w:rsidP="008E397B">
      <w:pPr>
        <w:pStyle w:val="ListParagraph"/>
        <w:ind w:left="1080" w:right="180"/>
        <w:jc w:val="both"/>
        <w:rPr>
          <w:u w:val="none"/>
        </w:rPr>
      </w:pPr>
    </w:p>
    <w:p w14:paraId="615A4F09" w14:textId="77777777" w:rsidR="000339BC" w:rsidRPr="008B594D" w:rsidRDefault="000339BC" w:rsidP="008E397B">
      <w:pPr>
        <w:pStyle w:val="ListParagraph"/>
        <w:ind w:left="1080" w:right="180"/>
        <w:jc w:val="both"/>
        <w:rPr>
          <w:u w:val="none"/>
        </w:rPr>
      </w:pPr>
    </w:p>
    <w:p w14:paraId="6097026E" w14:textId="77777777" w:rsidR="000339BC" w:rsidRDefault="000339BC" w:rsidP="008E397B">
      <w:pPr>
        <w:pStyle w:val="ListParagraph"/>
        <w:ind w:left="1080" w:right="180"/>
        <w:jc w:val="both"/>
        <w:rPr>
          <w:u w:val="none"/>
        </w:rPr>
      </w:pPr>
    </w:p>
    <w:p w14:paraId="1C4520F6" w14:textId="77777777" w:rsidR="004556FF" w:rsidRDefault="004556FF" w:rsidP="008E397B">
      <w:pPr>
        <w:pStyle w:val="ListParagraph"/>
        <w:ind w:left="1080" w:right="180"/>
        <w:jc w:val="both"/>
        <w:rPr>
          <w:u w:val="none"/>
        </w:rPr>
      </w:pPr>
    </w:p>
    <w:p w14:paraId="230E3F88" w14:textId="77777777" w:rsidR="004556FF" w:rsidRDefault="004556FF" w:rsidP="008E397B">
      <w:pPr>
        <w:pStyle w:val="ListParagraph"/>
        <w:ind w:left="1080" w:right="180"/>
        <w:jc w:val="both"/>
        <w:rPr>
          <w:u w:val="none"/>
        </w:rPr>
      </w:pPr>
    </w:p>
    <w:p w14:paraId="74A806CA" w14:textId="77777777" w:rsidR="004556FF" w:rsidRDefault="004556FF" w:rsidP="008E397B">
      <w:pPr>
        <w:pStyle w:val="ListParagraph"/>
        <w:ind w:left="1080" w:right="180"/>
        <w:jc w:val="both"/>
        <w:rPr>
          <w:u w:val="none"/>
        </w:rPr>
      </w:pPr>
    </w:p>
    <w:p w14:paraId="6D197109" w14:textId="77777777" w:rsidR="004556FF" w:rsidRDefault="004556FF" w:rsidP="008E397B">
      <w:pPr>
        <w:pStyle w:val="ListParagraph"/>
        <w:ind w:left="1080" w:right="180"/>
        <w:jc w:val="both"/>
        <w:rPr>
          <w:u w:val="none"/>
        </w:rPr>
      </w:pPr>
    </w:p>
    <w:p w14:paraId="041257A4" w14:textId="77777777" w:rsidR="004556FF" w:rsidRDefault="004556FF" w:rsidP="008E397B">
      <w:pPr>
        <w:pStyle w:val="ListParagraph"/>
        <w:ind w:left="1080" w:right="180"/>
        <w:jc w:val="both"/>
        <w:rPr>
          <w:u w:val="none"/>
        </w:rPr>
      </w:pPr>
    </w:p>
    <w:p w14:paraId="4EB8DB4F" w14:textId="77777777" w:rsidR="004556FF" w:rsidRDefault="004556FF" w:rsidP="008E397B">
      <w:pPr>
        <w:pStyle w:val="ListParagraph"/>
        <w:ind w:left="1080" w:right="180"/>
        <w:jc w:val="both"/>
        <w:rPr>
          <w:u w:val="none"/>
        </w:rPr>
      </w:pPr>
    </w:p>
    <w:p w14:paraId="24C25066" w14:textId="77777777" w:rsidR="00D953F7" w:rsidRPr="008B594D" w:rsidRDefault="00D953F7" w:rsidP="008E397B">
      <w:pPr>
        <w:pStyle w:val="ListParagraph"/>
        <w:ind w:left="1080" w:right="180"/>
        <w:jc w:val="both"/>
        <w:rPr>
          <w:u w:val="none"/>
        </w:rPr>
      </w:pPr>
    </w:p>
    <w:p w14:paraId="4D9325B5" w14:textId="77777777" w:rsidR="009C51CF" w:rsidRDefault="009C51CF" w:rsidP="008E397B">
      <w:pPr>
        <w:pStyle w:val="ListParagraph"/>
        <w:ind w:left="1080" w:right="180"/>
        <w:jc w:val="both"/>
        <w:rPr>
          <w:u w:val="none"/>
        </w:rPr>
      </w:pPr>
    </w:p>
    <w:p w14:paraId="211A63A0" w14:textId="77777777" w:rsidR="00245C12" w:rsidRDefault="00245C12" w:rsidP="008E397B">
      <w:pPr>
        <w:pStyle w:val="ListParagraph"/>
        <w:ind w:left="1080" w:right="180"/>
        <w:jc w:val="both"/>
        <w:rPr>
          <w:u w:val="none"/>
        </w:rPr>
      </w:pPr>
    </w:p>
    <w:p w14:paraId="0C6CC6EC" w14:textId="77777777" w:rsidR="00245C12" w:rsidRDefault="00245C12" w:rsidP="008E397B">
      <w:pPr>
        <w:pStyle w:val="ListParagraph"/>
        <w:ind w:left="1080" w:right="180"/>
        <w:jc w:val="both"/>
        <w:rPr>
          <w:u w:val="none"/>
        </w:rPr>
      </w:pPr>
    </w:p>
    <w:p w14:paraId="4417FE63" w14:textId="77777777" w:rsidR="00245C12" w:rsidRPr="008B594D" w:rsidRDefault="00245C12" w:rsidP="008E397B">
      <w:pPr>
        <w:widowControl/>
        <w:spacing w:after="160" w:line="259" w:lineRule="auto"/>
        <w:ind w:right="180"/>
        <w:rPr>
          <w:u w:val="none"/>
        </w:rPr>
      </w:pPr>
      <w:r w:rsidRPr="008B594D">
        <w:rPr>
          <w:b/>
          <w:bCs/>
          <w:u w:val="none"/>
        </w:rPr>
        <w:t>CERTIFICATION/REQUEST FOR APPROVAL</w:t>
      </w:r>
    </w:p>
    <w:p w14:paraId="6786EDB6" w14:textId="77777777" w:rsidR="00245C12" w:rsidRPr="008B594D" w:rsidRDefault="00245C12" w:rsidP="008E397B">
      <w:pPr>
        <w:pStyle w:val="Default"/>
        <w:ind w:right="180"/>
        <w:rPr>
          <w:rFonts w:ascii="Arial" w:hAnsi="Arial" w:cs="Arial"/>
          <w:u w:val="none"/>
        </w:rPr>
      </w:pPr>
    </w:p>
    <w:p w14:paraId="3E5A3F7A" w14:textId="77777777" w:rsidR="00245C12" w:rsidRPr="008B594D" w:rsidRDefault="00245C12" w:rsidP="008E397B">
      <w:pPr>
        <w:pStyle w:val="Default"/>
        <w:ind w:right="180"/>
        <w:rPr>
          <w:rFonts w:ascii="Arial" w:hAnsi="Arial" w:cs="Arial"/>
          <w:u w:val="none"/>
        </w:rPr>
      </w:pPr>
      <w:r w:rsidRPr="008B594D">
        <w:rPr>
          <w:rFonts w:ascii="Arial" w:hAnsi="Arial" w:cs="Arial"/>
          <w:u w:val="none"/>
        </w:rPr>
        <w:t xml:space="preserve">As an authorized representative of the Agent, I have reviewed this Modification to the Tenant Selection Plan and by signing below certify that the information contained herein is true and complete. The plan shall be effective as of the date approved by MassHousing. </w:t>
      </w:r>
    </w:p>
    <w:p w14:paraId="2741F56D" w14:textId="77777777" w:rsidR="004368A0" w:rsidRDefault="004368A0" w:rsidP="008E397B">
      <w:pPr>
        <w:pStyle w:val="Default"/>
        <w:ind w:right="180"/>
        <w:rPr>
          <w:rFonts w:ascii="Arial" w:hAnsi="Arial" w:cs="Arial"/>
          <w:u w:val="none"/>
        </w:rPr>
      </w:pPr>
    </w:p>
    <w:p w14:paraId="287122BA" w14:textId="77777777" w:rsidR="004368A0" w:rsidRDefault="004368A0" w:rsidP="008E397B">
      <w:pPr>
        <w:pStyle w:val="Default"/>
        <w:ind w:right="180"/>
        <w:rPr>
          <w:rFonts w:ascii="Arial" w:hAnsi="Arial" w:cs="Arial"/>
          <w:u w:val="none"/>
        </w:rPr>
      </w:pPr>
    </w:p>
    <w:p w14:paraId="174E0207" w14:textId="77777777" w:rsidR="00753D15" w:rsidRDefault="00753D15" w:rsidP="008E397B">
      <w:pPr>
        <w:pStyle w:val="Default"/>
        <w:ind w:right="180"/>
        <w:rPr>
          <w:rFonts w:ascii="Arial" w:hAnsi="Arial" w:cs="Arial"/>
          <w:u w:val="none"/>
        </w:rPr>
      </w:pPr>
    </w:p>
    <w:p w14:paraId="26B092D2" w14:textId="77777777" w:rsidR="00753D15" w:rsidRDefault="00753D15" w:rsidP="008E397B">
      <w:pPr>
        <w:pStyle w:val="Default"/>
        <w:ind w:right="180"/>
        <w:rPr>
          <w:rFonts w:ascii="Arial" w:hAnsi="Arial" w:cs="Arial"/>
          <w:u w:val="none"/>
        </w:rPr>
      </w:pPr>
    </w:p>
    <w:p w14:paraId="5EFD58AE" w14:textId="2A46A18D" w:rsidR="00753D15" w:rsidRDefault="00753D15" w:rsidP="008E397B">
      <w:pPr>
        <w:pStyle w:val="Default"/>
        <w:ind w:right="180"/>
        <w:rPr>
          <w:rFonts w:ascii="Arial" w:hAnsi="Arial" w:cs="Arial"/>
          <w:u w:val="none"/>
        </w:rPr>
      </w:pPr>
      <w:r>
        <w:rPr>
          <w:rFonts w:ascii="Arial" w:hAnsi="Arial" w:cs="Arial"/>
          <w:u w:val="none"/>
        </w:rPr>
        <w:t xml:space="preserve">DEVELOPMENT NAME:  </w:t>
      </w:r>
      <w:r>
        <w:rPr>
          <w:rFonts w:ascii="Arial" w:hAnsi="Arial" w:cs="Arial"/>
          <w:u w:val="none"/>
        </w:rPr>
        <w:fldChar w:fldCharType="begin"/>
      </w:r>
      <w:r>
        <w:rPr>
          <w:rFonts w:ascii="Arial" w:hAnsi="Arial" w:cs="Arial"/>
          <w:u w:val="none"/>
        </w:rPr>
        <w:instrText>REF Project</w:instrText>
      </w:r>
      <w:r>
        <w:rPr>
          <w:rFonts w:ascii="Arial" w:hAnsi="Arial" w:cs="Arial"/>
          <w:u w:val="none"/>
        </w:rPr>
        <w:fldChar w:fldCharType="separate"/>
      </w:r>
      <w:r w:rsidR="00ED755E">
        <w:rPr>
          <w:bCs/>
          <w:noProof/>
          <w:u w:val="none"/>
        </w:rPr>
        <w:t xml:space="preserve">     </w:t>
      </w:r>
      <w:r>
        <w:rPr>
          <w:rFonts w:ascii="Arial" w:hAnsi="Arial" w:cs="Arial"/>
          <w:u w:val="none"/>
        </w:rPr>
        <w:fldChar w:fldCharType="end"/>
      </w:r>
    </w:p>
    <w:p w14:paraId="383FF59C" w14:textId="6C86E515" w:rsidR="00753D15" w:rsidRDefault="00753D15" w:rsidP="008E397B">
      <w:pPr>
        <w:pStyle w:val="Default"/>
        <w:ind w:right="180"/>
        <w:rPr>
          <w:rFonts w:ascii="Arial" w:hAnsi="Arial" w:cs="Arial"/>
          <w:u w:val="none"/>
        </w:rPr>
      </w:pPr>
      <w:r>
        <w:rPr>
          <w:rFonts w:ascii="Arial" w:hAnsi="Arial" w:cs="Arial"/>
          <w:u w:val="none"/>
        </w:rPr>
        <w:t xml:space="preserve">MASSHOUSING NO.: </w:t>
      </w:r>
      <w:r w:rsidRPr="00063D8A">
        <w:rPr>
          <w:rFonts w:ascii="Arial" w:hAnsi="Arial" w:cs="Arial"/>
          <w:u w:val="none"/>
        </w:rPr>
        <w:t xml:space="preserve"> </w:t>
      </w:r>
      <w:r>
        <w:rPr>
          <w:rFonts w:ascii="Arial" w:hAnsi="Arial" w:cs="Arial"/>
          <w:u w:val="none"/>
        </w:rPr>
        <w:fldChar w:fldCharType="begin"/>
      </w:r>
      <w:r>
        <w:rPr>
          <w:rFonts w:ascii="Arial" w:hAnsi="Arial" w:cs="Arial"/>
          <w:u w:val="none"/>
        </w:rPr>
        <w:instrText>REF ProjNo</w:instrText>
      </w:r>
      <w:r>
        <w:rPr>
          <w:rFonts w:ascii="Arial" w:hAnsi="Arial" w:cs="Arial"/>
          <w:u w:val="none"/>
        </w:rPr>
        <w:fldChar w:fldCharType="separate"/>
      </w:r>
      <w:r w:rsidR="00ED755E">
        <w:rPr>
          <w:bCs/>
          <w:noProof/>
          <w:u w:val="none"/>
        </w:rPr>
        <w:t xml:space="preserve">     </w:t>
      </w:r>
      <w:r>
        <w:rPr>
          <w:rFonts w:ascii="Arial" w:hAnsi="Arial" w:cs="Arial"/>
          <w:u w:val="none"/>
        </w:rPr>
        <w:fldChar w:fldCharType="end"/>
      </w:r>
    </w:p>
    <w:p w14:paraId="08BE38D1" w14:textId="5D75C07D" w:rsidR="00753D15" w:rsidRDefault="00753D15" w:rsidP="008E397B">
      <w:pPr>
        <w:pStyle w:val="Default"/>
        <w:ind w:right="180"/>
        <w:rPr>
          <w:rFonts w:ascii="Arial" w:hAnsi="Arial" w:cs="Arial"/>
          <w:u w:val="none"/>
        </w:rPr>
      </w:pPr>
      <w:r>
        <w:rPr>
          <w:rFonts w:ascii="Arial" w:hAnsi="Arial" w:cs="Arial"/>
          <w:u w:val="none"/>
        </w:rPr>
        <w:t xml:space="preserve">AGENT:   </w:t>
      </w:r>
      <w:r>
        <w:rPr>
          <w:rFonts w:ascii="Arial" w:hAnsi="Arial" w:cs="Arial"/>
          <w:u w:val="none"/>
        </w:rPr>
        <w:fldChar w:fldCharType="begin"/>
      </w:r>
      <w:r>
        <w:rPr>
          <w:rFonts w:ascii="Arial" w:hAnsi="Arial" w:cs="Arial"/>
          <w:u w:val="none"/>
        </w:rPr>
        <w:instrText>REF TheAgent</w:instrText>
      </w:r>
      <w:r>
        <w:rPr>
          <w:rFonts w:ascii="Arial" w:hAnsi="Arial" w:cs="Arial"/>
          <w:u w:val="none"/>
        </w:rPr>
        <w:fldChar w:fldCharType="separate"/>
      </w:r>
      <w:r w:rsidR="00ED755E">
        <w:rPr>
          <w:bCs/>
          <w:noProof/>
          <w:u w:val="none"/>
        </w:rPr>
        <w:t xml:space="preserve">     </w:t>
      </w:r>
      <w:r>
        <w:rPr>
          <w:rFonts w:ascii="Arial" w:hAnsi="Arial" w:cs="Arial"/>
          <w:u w:val="none"/>
        </w:rPr>
        <w:fldChar w:fldCharType="end"/>
      </w:r>
    </w:p>
    <w:p w14:paraId="049666EC" w14:textId="77777777" w:rsidR="00753D15" w:rsidRDefault="00753D15" w:rsidP="008E397B">
      <w:pPr>
        <w:pStyle w:val="Default"/>
        <w:ind w:right="180"/>
        <w:rPr>
          <w:u w:val="none"/>
        </w:rPr>
      </w:pPr>
    </w:p>
    <w:p w14:paraId="18F719AB" w14:textId="77777777" w:rsidR="00753D15" w:rsidRDefault="00753D15" w:rsidP="008E397B">
      <w:pPr>
        <w:pStyle w:val="Default"/>
        <w:ind w:right="180"/>
        <w:rPr>
          <w:u w:val="none"/>
        </w:rPr>
      </w:pPr>
    </w:p>
    <w:p w14:paraId="5AA075DC" w14:textId="77777777" w:rsidR="00DA480F" w:rsidRPr="006F30E6" w:rsidRDefault="00DA480F" w:rsidP="00DA480F">
      <w:pPr>
        <w:pStyle w:val="Default"/>
        <w:ind w:right="180"/>
        <w:rPr>
          <w:rFonts w:ascii="Arial" w:hAnsi="Arial" w:cs="Arial"/>
        </w:rPr>
      </w:pPr>
      <w:r>
        <w:rPr>
          <w:rFonts w:ascii="Arial" w:hAnsi="Arial" w:cs="Arial"/>
          <w:u w:val="none"/>
        </w:rPr>
        <w:t xml:space="preserve">Signature: </w:t>
      </w:r>
      <w:r w:rsidRPr="00DA480F">
        <w:rPr>
          <w:rFonts w:ascii="Arial" w:hAnsi="Arial" w:cs="Arial"/>
        </w:rPr>
        <w:t xml:space="preserve"> </w:t>
      </w:r>
      <w:sdt>
        <w:sdtPr>
          <w:rPr>
            <w:rFonts w:ascii="Arial" w:hAnsi="Arial" w:cs="Arial"/>
            <w:noProof/>
          </w:rPr>
          <w:id w:val="-130087459"/>
          <w:showingPlcHdr/>
          <w:picture/>
        </w:sdtPr>
        <w:sdtEndPr/>
        <w:sdtContent>
          <w:r w:rsidR="00AD28E9" w:rsidRPr="006F30E6">
            <w:rPr>
              <w:rFonts w:ascii="Arial" w:hAnsi="Arial" w:cs="Arial"/>
              <w:noProof/>
            </w:rPr>
            <w:drawing>
              <wp:inline distT="0" distB="0" distL="0" distR="0" wp14:anchorId="47F3F00B" wp14:editId="744CB201">
                <wp:extent cx="3886200" cy="304800"/>
                <wp:effectExtent l="0" t="0" r="0" b="0"/>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304800"/>
                        </a:xfrm>
                        <a:prstGeom prst="rect">
                          <a:avLst/>
                        </a:prstGeom>
                        <a:noFill/>
                        <a:ln>
                          <a:noFill/>
                        </a:ln>
                      </pic:spPr>
                    </pic:pic>
                  </a:graphicData>
                </a:graphic>
              </wp:inline>
            </w:drawing>
          </w:r>
        </w:sdtContent>
      </w:sdt>
    </w:p>
    <w:p w14:paraId="58D6505D" w14:textId="49CE8CA8" w:rsidR="00DA480F" w:rsidRPr="00DA480F" w:rsidRDefault="00DA480F" w:rsidP="008E397B">
      <w:pPr>
        <w:pStyle w:val="Default"/>
        <w:ind w:right="180"/>
        <w:rPr>
          <w:u w:val="none"/>
        </w:rPr>
      </w:pPr>
      <w:r w:rsidRPr="008B594D">
        <w:rPr>
          <w:rFonts w:ascii="Arial" w:hAnsi="Arial" w:cs="Arial"/>
          <w:u w:val="none"/>
        </w:rPr>
        <w:t>Name</w:t>
      </w:r>
      <w:r w:rsidRPr="00DA480F">
        <w:rPr>
          <w:rFonts w:ascii="Arial" w:hAnsi="Arial" w:cs="Arial"/>
          <w:u w:val="none"/>
        </w:rPr>
        <w:t xml:space="preserve">:  </w:t>
      </w:r>
      <w:r>
        <w:rPr>
          <w:rFonts w:ascii="Arial" w:hAnsi="Arial" w:cs="Arial"/>
          <w:u w:val="none"/>
        </w:rPr>
        <w:t xml:space="preserve">    </w:t>
      </w:r>
      <w:r w:rsidRPr="00DA480F">
        <w:rPr>
          <w:rFonts w:ascii="Arial" w:hAnsi="Arial" w:cs="Arial"/>
          <w:u w:val="none"/>
        </w:rPr>
        <w:t xml:space="preserve"> </w:t>
      </w:r>
      <w:r w:rsidRPr="00DA480F">
        <w:rPr>
          <w:rFonts w:ascii="Arial" w:hAnsi="Arial" w:cs="Arial"/>
        </w:rPr>
        <w:object w:dxaOrig="1440" w:dyaOrig="1440" w14:anchorId="3D55D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40pt;height:18pt" o:ole="">
            <v:imagedata r:id="rId14" o:title=""/>
          </v:shape>
          <w:control r:id="rId15" w:name="TextBox12" w:shapeid="_x0000_i1042"/>
        </w:object>
      </w:r>
    </w:p>
    <w:p w14:paraId="30D5D8A7" w14:textId="1F726521" w:rsidR="00DA480F" w:rsidRPr="00DA480F" w:rsidRDefault="00DA480F" w:rsidP="008E397B">
      <w:pPr>
        <w:pStyle w:val="Default"/>
        <w:ind w:right="180"/>
        <w:rPr>
          <w:u w:val="none"/>
        </w:rPr>
      </w:pPr>
      <w:r w:rsidRPr="00DA480F">
        <w:rPr>
          <w:rFonts w:ascii="Arial" w:hAnsi="Arial" w:cs="Arial"/>
          <w:u w:val="none"/>
        </w:rPr>
        <w:t xml:space="preserve">Title:   </w:t>
      </w:r>
      <w:r>
        <w:rPr>
          <w:rFonts w:ascii="Arial" w:hAnsi="Arial" w:cs="Arial"/>
          <w:u w:val="none"/>
        </w:rPr>
        <w:t xml:space="preserve">   </w:t>
      </w:r>
      <w:r w:rsidRPr="00DA480F">
        <w:rPr>
          <w:rFonts w:ascii="Arial" w:hAnsi="Arial" w:cs="Arial"/>
          <w:u w:val="none"/>
        </w:rPr>
        <w:t xml:space="preserve">  </w:t>
      </w:r>
      <w:r>
        <w:rPr>
          <w:rFonts w:ascii="Arial" w:hAnsi="Arial" w:cs="Arial"/>
          <w:u w:val="none"/>
        </w:rPr>
        <w:t xml:space="preserve"> </w:t>
      </w:r>
      <w:r w:rsidRPr="00DA480F">
        <w:rPr>
          <w:rFonts w:ascii="Arial" w:hAnsi="Arial" w:cs="Arial"/>
          <w:u w:val="none"/>
        </w:rPr>
        <w:t xml:space="preserve"> </w:t>
      </w:r>
      <w:r w:rsidRPr="00DA480F">
        <w:rPr>
          <w:rFonts w:ascii="Arial" w:hAnsi="Arial" w:cs="Arial"/>
        </w:rPr>
        <w:object w:dxaOrig="1440" w:dyaOrig="1440" w14:anchorId="207F98CE">
          <v:shape id="_x0000_i1044" type="#_x0000_t75" style="width:339pt;height:18pt" o:ole="">
            <v:imagedata r:id="rId16" o:title=""/>
          </v:shape>
          <w:control r:id="rId17" w:name="TextBox13" w:shapeid="_x0000_i1044"/>
        </w:object>
      </w:r>
    </w:p>
    <w:p w14:paraId="16E5427B" w14:textId="21645BD0" w:rsidR="00DA480F" w:rsidRPr="00DA480F" w:rsidRDefault="00DA480F" w:rsidP="008E397B">
      <w:pPr>
        <w:pStyle w:val="Default"/>
        <w:ind w:right="180"/>
        <w:rPr>
          <w:rFonts w:ascii="Arial" w:hAnsi="Arial" w:cs="Arial"/>
          <w:u w:val="none"/>
        </w:rPr>
      </w:pPr>
      <w:r w:rsidRPr="00DA480F">
        <w:rPr>
          <w:rFonts w:ascii="Arial" w:hAnsi="Arial" w:cs="Arial"/>
          <w:u w:val="none"/>
        </w:rPr>
        <w:t xml:space="preserve">Date:   </w:t>
      </w:r>
      <w:r>
        <w:rPr>
          <w:rFonts w:ascii="Arial" w:hAnsi="Arial" w:cs="Arial"/>
          <w:u w:val="none"/>
        </w:rPr>
        <w:t xml:space="preserve">    </w:t>
      </w:r>
      <w:r w:rsidRPr="00DA480F">
        <w:rPr>
          <w:rFonts w:ascii="Arial" w:hAnsi="Arial" w:cs="Arial"/>
          <w:u w:val="none"/>
        </w:rPr>
        <w:t xml:space="preserve">  </w:t>
      </w:r>
      <w:r w:rsidRPr="00DA480F">
        <w:rPr>
          <w:rFonts w:ascii="Arial" w:hAnsi="Arial" w:cs="Arial"/>
        </w:rPr>
        <w:object w:dxaOrig="1440" w:dyaOrig="1440" w14:anchorId="5A15D088">
          <v:shape id="_x0000_i1046" type="#_x0000_t75" style="width:87pt;height:18pt" o:ole="">
            <v:imagedata r:id="rId18" o:title=""/>
          </v:shape>
          <w:control r:id="rId19" w:name="TextBox14" w:shapeid="_x0000_i1046"/>
        </w:object>
      </w:r>
    </w:p>
    <w:p w14:paraId="74342AEB" w14:textId="77777777" w:rsidR="00DA480F" w:rsidRDefault="00DA480F" w:rsidP="008E397B">
      <w:pPr>
        <w:pStyle w:val="Default"/>
        <w:ind w:right="180"/>
        <w:rPr>
          <w:rFonts w:ascii="Arial" w:hAnsi="Arial" w:cs="Arial"/>
          <w:u w:val="none"/>
        </w:rPr>
      </w:pPr>
    </w:p>
    <w:p w14:paraId="105F6918" w14:textId="77777777" w:rsidR="00DA480F" w:rsidRDefault="00DA480F" w:rsidP="008E397B">
      <w:pPr>
        <w:pStyle w:val="Default"/>
        <w:ind w:right="180"/>
        <w:rPr>
          <w:rFonts w:ascii="Arial" w:hAnsi="Arial" w:cs="Arial"/>
          <w:u w:val="none"/>
        </w:rPr>
      </w:pPr>
    </w:p>
    <w:p w14:paraId="374F6A9A" w14:textId="77777777" w:rsidR="00753D15" w:rsidRDefault="00753D15" w:rsidP="008E397B">
      <w:pPr>
        <w:pStyle w:val="Default"/>
        <w:ind w:right="180"/>
        <w:rPr>
          <w:rFonts w:ascii="Arial" w:hAnsi="Arial" w:cs="Arial"/>
          <w:u w:val="none"/>
        </w:rPr>
      </w:pPr>
    </w:p>
    <w:p w14:paraId="7CB96837" w14:textId="77777777" w:rsidR="00753D15" w:rsidRDefault="00753D15" w:rsidP="008E397B">
      <w:pPr>
        <w:pStyle w:val="Default"/>
        <w:ind w:right="180"/>
        <w:rPr>
          <w:rFonts w:ascii="Arial" w:hAnsi="Arial" w:cs="Arial"/>
          <w:u w:val="none"/>
        </w:rPr>
      </w:pPr>
      <w:r>
        <w:rPr>
          <w:rFonts w:ascii="Arial" w:hAnsi="Arial" w:cs="Arial"/>
          <w:u w:val="none"/>
        </w:rPr>
        <w:t>APPROVED: MASSACHUSETTS HOUSING FINANCE AGENCY</w:t>
      </w:r>
    </w:p>
    <w:p w14:paraId="6FDFF0C0" w14:textId="77777777" w:rsidR="00753D15" w:rsidRDefault="00753D15" w:rsidP="008E397B">
      <w:pPr>
        <w:pStyle w:val="Default"/>
        <w:ind w:right="180"/>
        <w:rPr>
          <w:rFonts w:ascii="Arial" w:hAnsi="Arial" w:cs="Arial"/>
          <w:u w:val="none"/>
        </w:rPr>
      </w:pPr>
    </w:p>
    <w:tbl>
      <w:tblPr>
        <w:tblStyle w:val="TableGrid"/>
        <w:tblW w:w="471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
        <w:gridCol w:w="3790"/>
        <w:gridCol w:w="2245"/>
        <w:gridCol w:w="557"/>
        <w:gridCol w:w="236"/>
        <w:gridCol w:w="829"/>
      </w:tblGrid>
      <w:tr w:rsidR="009B0DF2" w:rsidRPr="008B594D" w14:paraId="1626C25E" w14:textId="77777777" w:rsidTr="00753D15">
        <w:tc>
          <w:tcPr>
            <w:tcW w:w="658" w:type="pct"/>
          </w:tcPr>
          <w:p w14:paraId="7D23EFCE" w14:textId="77777777" w:rsidR="009B0DF2" w:rsidRPr="00753D15" w:rsidRDefault="00753D15" w:rsidP="008E397B">
            <w:pPr>
              <w:pStyle w:val="Default"/>
              <w:ind w:right="180"/>
              <w:rPr>
                <w:rFonts w:ascii="Arial" w:hAnsi="Arial" w:cs="Arial"/>
                <w:noProof/>
                <w:u w:val="none"/>
              </w:rPr>
            </w:pPr>
            <w:r w:rsidRPr="00753D15">
              <w:rPr>
                <w:rFonts w:ascii="Arial" w:hAnsi="Arial" w:cs="Arial"/>
                <w:noProof/>
                <w:u w:val="none"/>
              </w:rPr>
              <w:t>By</w:t>
            </w:r>
            <w:r>
              <w:rPr>
                <w:rFonts w:ascii="Arial" w:hAnsi="Arial" w:cs="Arial"/>
                <w:noProof/>
                <w:u w:val="none"/>
              </w:rPr>
              <w:t>:</w:t>
            </w:r>
          </w:p>
        </w:tc>
        <w:sdt>
          <w:sdtPr>
            <w:rPr>
              <w:rFonts w:ascii="Arial" w:hAnsi="Arial" w:cs="Arial"/>
              <w:noProof/>
            </w:rPr>
            <w:id w:val="-1181892995"/>
            <w:showingPlcHdr/>
            <w:picture/>
          </w:sdtPr>
          <w:sdtEndPr/>
          <w:sdtContent>
            <w:tc>
              <w:tcPr>
                <w:tcW w:w="4342" w:type="pct"/>
                <w:gridSpan w:val="5"/>
                <w:shd w:val="clear" w:color="auto" w:fill="auto"/>
              </w:tcPr>
              <w:p w14:paraId="66B3ADFD" w14:textId="77777777" w:rsidR="009B0DF2" w:rsidRPr="006F30E6" w:rsidRDefault="00AD28E9" w:rsidP="008E397B">
                <w:pPr>
                  <w:pStyle w:val="Default"/>
                  <w:ind w:right="180"/>
                  <w:rPr>
                    <w:rFonts w:ascii="Arial" w:hAnsi="Arial" w:cs="Arial"/>
                    <w:u w:val="none"/>
                  </w:rPr>
                </w:pPr>
                <w:r w:rsidRPr="006F30E6">
                  <w:rPr>
                    <w:rFonts w:ascii="Arial" w:hAnsi="Arial" w:cs="Arial"/>
                    <w:noProof/>
                  </w:rPr>
                  <w:drawing>
                    <wp:inline distT="0" distB="0" distL="0" distR="0" wp14:anchorId="11EDC601" wp14:editId="69D1CA9C">
                      <wp:extent cx="3790950" cy="262709"/>
                      <wp:effectExtent l="0" t="0" r="0" b="4445"/>
                      <wp:docPr id="16630063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1210" cy="312622"/>
                              </a:xfrm>
                              <a:prstGeom prst="rect">
                                <a:avLst/>
                              </a:prstGeom>
                              <a:noFill/>
                              <a:ln>
                                <a:noFill/>
                              </a:ln>
                            </pic:spPr>
                          </pic:pic>
                        </a:graphicData>
                      </a:graphic>
                    </wp:inline>
                  </w:drawing>
                </w:r>
              </w:p>
            </w:tc>
          </w:sdtContent>
        </w:sdt>
      </w:tr>
      <w:tr w:rsidR="009B0DF2" w:rsidRPr="008B594D" w14:paraId="19499124" w14:textId="77777777" w:rsidTr="00753D15">
        <w:tc>
          <w:tcPr>
            <w:tcW w:w="658" w:type="pct"/>
          </w:tcPr>
          <w:p w14:paraId="67FB4280" w14:textId="77777777" w:rsidR="009B0DF2" w:rsidRPr="008B594D" w:rsidRDefault="005510C9" w:rsidP="008E397B">
            <w:pPr>
              <w:pStyle w:val="Default"/>
              <w:ind w:right="180"/>
              <w:rPr>
                <w:rFonts w:ascii="Arial" w:hAnsi="Arial" w:cs="Arial"/>
                <w:u w:val="none"/>
              </w:rPr>
            </w:pPr>
            <w:r w:rsidRPr="008B594D">
              <w:rPr>
                <w:rFonts w:ascii="Arial" w:hAnsi="Arial" w:cs="Arial"/>
                <w:u w:val="none"/>
              </w:rPr>
              <w:t>Name:</w:t>
            </w:r>
          </w:p>
        </w:tc>
        <w:tc>
          <w:tcPr>
            <w:tcW w:w="4342" w:type="pct"/>
            <w:gridSpan w:val="5"/>
            <w:shd w:val="clear" w:color="auto" w:fill="auto"/>
          </w:tcPr>
          <w:p w14:paraId="2D3304BD" w14:textId="77777777" w:rsidR="009B0DF2" w:rsidRPr="008B594D" w:rsidRDefault="009B0DF2" w:rsidP="008E397B">
            <w:pPr>
              <w:pStyle w:val="Default"/>
              <w:ind w:right="180"/>
              <w:rPr>
                <w:rFonts w:ascii="Arial" w:hAnsi="Arial" w:cs="Arial"/>
                <w:u w:val="none"/>
              </w:rPr>
            </w:pPr>
            <w:r w:rsidRPr="008B594D">
              <w:rPr>
                <w:rFonts w:ascii="Arial" w:hAnsi="Arial" w:cs="Arial"/>
                <w:u w:val="none"/>
              </w:rPr>
              <w:t>Anne Marie MacPherson</w:t>
            </w:r>
            <w:r w:rsidR="004368A0">
              <w:rPr>
                <w:rFonts w:ascii="Arial" w:hAnsi="Arial" w:cs="Arial"/>
                <w:u w:val="none"/>
              </w:rPr>
              <w:t xml:space="preserve">, </w:t>
            </w:r>
            <w:r w:rsidR="004368A0" w:rsidRPr="004368A0">
              <w:rPr>
                <w:rFonts w:ascii="Arial" w:hAnsi="Arial" w:cs="Arial"/>
                <w:u w:val="none"/>
              </w:rPr>
              <w:t xml:space="preserve">CPM, CPC </w:t>
            </w:r>
          </w:p>
        </w:tc>
      </w:tr>
      <w:tr w:rsidR="009B0DF2" w:rsidRPr="008B594D" w14:paraId="7F652488" w14:textId="77777777" w:rsidTr="00753D15">
        <w:tc>
          <w:tcPr>
            <w:tcW w:w="658" w:type="pct"/>
          </w:tcPr>
          <w:p w14:paraId="3651DAAF" w14:textId="77777777" w:rsidR="009B0DF2" w:rsidRPr="008B594D" w:rsidRDefault="005510C9" w:rsidP="008E397B">
            <w:pPr>
              <w:pStyle w:val="Default"/>
              <w:ind w:right="180"/>
              <w:rPr>
                <w:rFonts w:ascii="Arial" w:hAnsi="Arial" w:cs="Arial"/>
                <w:u w:val="none"/>
              </w:rPr>
            </w:pPr>
            <w:r w:rsidRPr="008B594D">
              <w:rPr>
                <w:rFonts w:ascii="Arial" w:hAnsi="Arial" w:cs="Arial"/>
                <w:u w:val="none"/>
              </w:rPr>
              <w:t>Title:</w:t>
            </w:r>
          </w:p>
        </w:tc>
        <w:tc>
          <w:tcPr>
            <w:tcW w:w="4342" w:type="pct"/>
            <w:gridSpan w:val="5"/>
            <w:shd w:val="clear" w:color="auto" w:fill="auto"/>
          </w:tcPr>
          <w:p w14:paraId="7D3F45C9" w14:textId="77777777" w:rsidR="009B0DF2" w:rsidRPr="008B594D" w:rsidRDefault="009B0DF2" w:rsidP="008E397B">
            <w:pPr>
              <w:pStyle w:val="Default"/>
              <w:ind w:right="180"/>
              <w:rPr>
                <w:rFonts w:ascii="Arial" w:hAnsi="Arial" w:cs="Arial"/>
                <w:u w:val="none"/>
              </w:rPr>
            </w:pPr>
            <w:r w:rsidRPr="008B594D">
              <w:rPr>
                <w:rFonts w:ascii="Arial" w:hAnsi="Arial" w:cs="Arial"/>
                <w:u w:val="none"/>
              </w:rPr>
              <w:t>Senior Manager of Asset Management</w:t>
            </w:r>
            <w:r w:rsidR="004368A0">
              <w:rPr>
                <w:rFonts w:ascii="Arial" w:hAnsi="Arial" w:cs="Arial"/>
                <w:u w:val="none"/>
              </w:rPr>
              <w:t xml:space="preserve"> Department</w:t>
            </w:r>
          </w:p>
        </w:tc>
      </w:tr>
      <w:tr w:rsidR="009B0DF2" w:rsidRPr="008B594D" w14:paraId="37971ED8" w14:textId="77777777" w:rsidTr="00753D15">
        <w:tc>
          <w:tcPr>
            <w:tcW w:w="658" w:type="pct"/>
          </w:tcPr>
          <w:p w14:paraId="663760A0" w14:textId="77777777" w:rsidR="009B0DF2" w:rsidRPr="008B594D" w:rsidRDefault="009B0DF2" w:rsidP="008E397B">
            <w:pPr>
              <w:pStyle w:val="Default"/>
              <w:ind w:right="180"/>
              <w:rPr>
                <w:rFonts w:ascii="Arial" w:hAnsi="Arial" w:cs="Arial"/>
                <w:u w:val="none"/>
              </w:rPr>
            </w:pPr>
          </w:p>
        </w:tc>
        <w:tc>
          <w:tcPr>
            <w:tcW w:w="4342" w:type="pct"/>
            <w:gridSpan w:val="5"/>
            <w:shd w:val="clear" w:color="auto" w:fill="auto"/>
          </w:tcPr>
          <w:p w14:paraId="7582D7A0" w14:textId="77777777" w:rsidR="009B0DF2" w:rsidRPr="008B594D" w:rsidRDefault="009B0DF2" w:rsidP="008E397B">
            <w:pPr>
              <w:pStyle w:val="Default"/>
              <w:ind w:right="180"/>
              <w:rPr>
                <w:rFonts w:ascii="Arial" w:hAnsi="Arial" w:cs="Arial"/>
                <w:u w:val="none"/>
              </w:rPr>
            </w:pPr>
          </w:p>
        </w:tc>
      </w:tr>
      <w:tr w:rsidR="009B0DF2" w:rsidRPr="008B594D" w14:paraId="5124FC8B" w14:textId="77777777" w:rsidTr="00753D15">
        <w:tc>
          <w:tcPr>
            <w:tcW w:w="658" w:type="pct"/>
          </w:tcPr>
          <w:p w14:paraId="3B8718EA" w14:textId="77777777" w:rsidR="009B0DF2" w:rsidRPr="008B594D" w:rsidRDefault="0021307A" w:rsidP="008E397B">
            <w:pPr>
              <w:pStyle w:val="Default"/>
              <w:ind w:right="180"/>
              <w:rPr>
                <w:rFonts w:ascii="Arial" w:hAnsi="Arial" w:cs="Arial"/>
                <w:u w:val="none"/>
              </w:rPr>
            </w:pPr>
            <w:r w:rsidRPr="008B594D">
              <w:rPr>
                <w:rFonts w:ascii="Arial" w:hAnsi="Arial" w:cs="Arial"/>
                <w:u w:val="none"/>
              </w:rPr>
              <w:t>Date:</w:t>
            </w:r>
          </w:p>
        </w:tc>
        <w:tc>
          <w:tcPr>
            <w:tcW w:w="2149" w:type="pct"/>
            <w:shd w:val="clear" w:color="auto" w:fill="auto"/>
          </w:tcPr>
          <w:p w14:paraId="48D397AF" w14:textId="7A195ED2" w:rsidR="009B0DF2" w:rsidRPr="008B594D" w:rsidRDefault="007A5A20" w:rsidP="008E397B">
            <w:pPr>
              <w:pStyle w:val="Default"/>
              <w:ind w:right="180"/>
              <w:rPr>
                <w:rFonts w:ascii="Arial" w:hAnsi="Arial" w:cs="Arial"/>
                <w:u w:val="none"/>
              </w:rPr>
            </w:pPr>
            <w:r w:rsidRPr="00DA480F">
              <w:rPr>
                <w:rFonts w:ascii="Arial" w:hAnsi="Arial" w:cs="Arial"/>
              </w:rPr>
              <w:object w:dxaOrig="1440" w:dyaOrig="1440" w14:anchorId="3056AFFE">
                <v:shape id="_x0000_i1048" type="#_x0000_t75" style="width:87pt;height:18pt" o:ole="">
                  <v:imagedata r:id="rId18" o:title=""/>
                </v:shape>
                <w:control r:id="rId20" w:name="TextBox141" w:shapeid="_x0000_i1048"/>
              </w:object>
            </w:r>
          </w:p>
        </w:tc>
        <w:tc>
          <w:tcPr>
            <w:tcW w:w="2194" w:type="pct"/>
            <w:gridSpan w:val="4"/>
            <w:shd w:val="clear" w:color="auto" w:fill="auto"/>
          </w:tcPr>
          <w:p w14:paraId="786EE3C5" w14:textId="77777777" w:rsidR="009B0DF2" w:rsidRPr="008B594D" w:rsidRDefault="009B0DF2" w:rsidP="008E397B">
            <w:pPr>
              <w:pStyle w:val="Default"/>
              <w:ind w:right="180"/>
              <w:rPr>
                <w:rFonts w:ascii="Arial" w:hAnsi="Arial" w:cs="Arial"/>
                <w:u w:val="none"/>
              </w:rPr>
            </w:pPr>
          </w:p>
        </w:tc>
      </w:tr>
      <w:tr w:rsidR="009B0DF2" w:rsidRPr="008B594D" w14:paraId="7D96FDFF" w14:textId="77777777" w:rsidTr="00753D15">
        <w:tc>
          <w:tcPr>
            <w:tcW w:w="658" w:type="pct"/>
          </w:tcPr>
          <w:p w14:paraId="12F943A1" w14:textId="77777777" w:rsidR="009B0DF2" w:rsidRPr="008B594D" w:rsidRDefault="009B0DF2" w:rsidP="008E397B">
            <w:pPr>
              <w:pStyle w:val="Default"/>
              <w:ind w:right="180"/>
              <w:rPr>
                <w:rFonts w:ascii="Arial" w:hAnsi="Arial" w:cs="Arial"/>
                <w:u w:val="none"/>
              </w:rPr>
            </w:pPr>
          </w:p>
        </w:tc>
        <w:tc>
          <w:tcPr>
            <w:tcW w:w="2149" w:type="pct"/>
          </w:tcPr>
          <w:p w14:paraId="7FA436E0" w14:textId="77777777" w:rsidR="009B0DF2" w:rsidRPr="008B594D" w:rsidRDefault="009B0DF2" w:rsidP="008E397B">
            <w:pPr>
              <w:pStyle w:val="Default"/>
              <w:ind w:right="180"/>
              <w:rPr>
                <w:rFonts w:ascii="Arial" w:hAnsi="Arial" w:cs="Arial"/>
                <w:u w:val="none"/>
              </w:rPr>
            </w:pPr>
          </w:p>
        </w:tc>
        <w:tc>
          <w:tcPr>
            <w:tcW w:w="1273" w:type="pct"/>
          </w:tcPr>
          <w:p w14:paraId="59DA22D7" w14:textId="77777777" w:rsidR="009B0DF2" w:rsidRPr="008B594D" w:rsidRDefault="009B0DF2" w:rsidP="008E397B">
            <w:pPr>
              <w:pStyle w:val="Default"/>
              <w:ind w:right="180"/>
              <w:rPr>
                <w:rFonts w:ascii="Arial" w:hAnsi="Arial" w:cs="Arial"/>
                <w:u w:val="none"/>
              </w:rPr>
            </w:pPr>
          </w:p>
        </w:tc>
        <w:tc>
          <w:tcPr>
            <w:tcW w:w="316" w:type="pct"/>
          </w:tcPr>
          <w:p w14:paraId="20776880" w14:textId="77777777" w:rsidR="009B0DF2" w:rsidRPr="008B594D" w:rsidRDefault="009B0DF2" w:rsidP="008E397B">
            <w:pPr>
              <w:pStyle w:val="Default"/>
              <w:ind w:right="180"/>
              <w:rPr>
                <w:rFonts w:ascii="Arial" w:hAnsi="Arial" w:cs="Arial"/>
                <w:u w:val="none"/>
              </w:rPr>
            </w:pPr>
          </w:p>
        </w:tc>
        <w:tc>
          <w:tcPr>
            <w:tcW w:w="134" w:type="pct"/>
          </w:tcPr>
          <w:p w14:paraId="1FF0BA8A" w14:textId="77777777" w:rsidR="009B0DF2" w:rsidRPr="008B594D" w:rsidRDefault="009B0DF2" w:rsidP="008E397B">
            <w:pPr>
              <w:pStyle w:val="Default"/>
              <w:ind w:right="180"/>
              <w:rPr>
                <w:rFonts w:ascii="Arial" w:hAnsi="Arial" w:cs="Arial"/>
                <w:u w:val="none"/>
              </w:rPr>
            </w:pPr>
          </w:p>
        </w:tc>
        <w:tc>
          <w:tcPr>
            <w:tcW w:w="471" w:type="pct"/>
          </w:tcPr>
          <w:p w14:paraId="7130F0E9" w14:textId="77777777" w:rsidR="009B0DF2" w:rsidRPr="008B594D" w:rsidRDefault="009B0DF2" w:rsidP="008E397B">
            <w:pPr>
              <w:pStyle w:val="Default"/>
              <w:ind w:right="180"/>
              <w:rPr>
                <w:rFonts w:ascii="Arial" w:hAnsi="Arial" w:cs="Arial"/>
                <w:u w:val="none"/>
              </w:rPr>
            </w:pPr>
          </w:p>
        </w:tc>
      </w:tr>
      <w:tr w:rsidR="009B0DF2" w:rsidRPr="008B594D" w14:paraId="58B3AC6E" w14:textId="77777777" w:rsidTr="00753D15">
        <w:tc>
          <w:tcPr>
            <w:tcW w:w="658" w:type="pct"/>
          </w:tcPr>
          <w:p w14:paraId="249B1A72" w14:textId="77777777" w:rsidR="009B0DF2" w:rsidRPr="008B594D" w:rsidRDefault="009B0DF2" w:rsidP="008E397B">
            <w:pPr>
              <w:pStyle w:val="Default"/>
              <w:ind w:right="180"/>
              <w:rPr>
                <w:rFonts w:ascii="Arial" w:hAnsi="Arial" w:cs="Arial"/>
                <w:u w:val="none"/>
              </w:rPr>
            </w:pPr>
          </w:p>
        </w:tc>
        <w:tc>
          <w:tcPr>
            <w:tcW w:w="2149" w:type="pct"/>
          </w:tcPr>
          <w:p w14:paraId="6D525629" w14:textId="77777777" w:rsidR="009B0DF2" w:rsidRPr="008B594D" w:rsidRDefault="009B0DF2" w:rsidP="008E397B">
            <w:pPr>
              <w:pStyle w:val="Default"/>
              <w:ind w:right="180"/>
              <w:rPr>
                <w:rFonts w:ascii="Arial" w:hAnsi="Arial" w:cs="Arial"/>
                <w:u w:val="none"/>
              </w:rPr>
            </w:pPr>
          </w:p>
        </w:tc>
        <w:tc>
          <w:tcPr>
            <w:tcW w:w="1273" w:type="pct"/>
          </w:tcPr>
          <w:p w14:paraId="0AC05F6E" w14:textId="77777777" w:rsidR="009B0DF2" w:rsidRPr="008B594D" w:rsidRDefault="009B0DF2" w:rsidP="008E397B">
            <w:pPr>
              <w:pStyle w:val="Default"/>
              <w:ind w:right="180"/>
              <w:rPr>
                <w:rFonts w:ascii="Arial" w:hAnsi="Arial" w:cs="Arial"/>
                <w:u w:val="none"/>
              </w:rPr>
            </w:pPr>
          </w:p>
        </w:tc>
        <w:tc>
          <w:tcPr>
            <w:tcW w:w="316" w:type="pct"/>
          </w:tcPr>
          <w:p w14:paraId="1119AE3E" w14:textId="77777777" w:rsidR="009B0DF2" w:rsidRPr="008B594D" w:rsidRDefault="009B0DF2" w:rsidP="008E397B">
            <w:pPr>
              <w:pStyle w:val="Default"/>
              <w:ind w:right="180"/>
              <w:rPr>
                <w:rFonts w:ascii="Arial" w:hAnsi="Arial" w:cs="Arial"/>
                <w:u w:val="none"/>
              </w:rPr>
            </w:pPr>
          </w:p>
        </w:tc>
        <w:tc>
          <w:tcPr>
            <w:tcW w:w="134" w:type="pct"/>
          </w:tcPr>
          <w:p w14:paraId="213E4B9B" w14:textId="77777777" w:rsidR="009B0DF2" w:rsidRPr="008B594D" w:rsidRDefault="009B0DF2" w:rsidP="008E397B">
            <w:pPr>
              <w:pStyle w:val="Default"/>
              <w:ind w:right="180"/>
              <w:rPr>
                <w:rFonts w:ascii="Arial" w:hAnsi="Arial" w:cs="Arial"/>
                <w:u w:val="none"/>
              </w:rPr>
            </w:pPr>
          </w:p>
        </w:tc>
        <w:tc>
          <w:tcPr>
            <w:tcW w:w="471" w:type="pct"/>
          </w:tcPr>
          <w:p w14:paraId="6DE72CEF" w14:textId="77777777" w:rsidR="009B0DF2" w:rsidRPr="008B594D" w:rsidRDefault="009B0DF2" w:rsidP="008E397B">
            <w:pPr>
              <w:pStyle w:val="Default"/>
              <w:ind w:right="180"/>
              <w:rPr>
                <w:rFonts w:ascii="Arial" w:hAnsi="Arial" w:cs="Arial"/>
                <w:u w:val="none"/>
              </w:rPr>
            </w:pPr>
          </w:p>
        </w:tc>
      </w:tr>
    </w:tbl>
    <w:p w14:paraId="7FEAEF78" w14:textId="77777777" w:rsidR="009B0DF2" w:rsidRDefault="009B0DF2" w:rsidP="008E397B">
      <w:pPr>
        <w:pStyle w:val="Default"/>
        <w:ind w:right="180"/>
        <w:rPr>
          <w:rFonts w:ascii="Arial" w:hAnsi="Arial" w:cs="Arial"/>
          <w:u w:val="none"/>
        </w:rPr>
      </w:pPr>
    </w:p>
    <w:p w14:paraId="72F1C3EE" w14:textId="77777777" w:rsidR="00C21AE9" w:rsidRPr="008B594D" w:rsidRDefault="00C21AE9" w:rsidP="008E397B">
      <w:pPr>
        <w:widowControl/>
        <w:spacing w:after="160" w:line="259" w:lineRule="auto"/>
        <w:ind w:right="180"/>
        <w:rPr>
          <w:u w:val="none"/>
        </w:rPr>
      </w:pPr>
    </w:p>
    <w:p w14:paraId="3FF66CAF" w14:textId="77777777" w:rsidR="00C21AE9" w:rsidRPr="008B594D" w:rsidRDefault="00C21AE9" w:rsidP="008E397B">
      <w:pPr>
        <w:widowControl/>
        <w:spacing w:after="160" w:line="259" w:lineRule="auto"/>
        <w:ind w:right="180"/>
        <w:rPr>
          <w:u w:val="none"/>
        </w:rPr>
      </w:pPr>
      <w:r w:rsidRPr="008B594D">
        <w:rPr>
          <w:u w:val="none"/>
        </w:rPr>
        <w:t>Attachments:</w:t>
      </w:r>
    </w:p>
    <w:p w14:paraId="6BB44CB7" w14:textId="39F4B1B5" w:rsidR="000F3172" w:rsidRPr="008B594D" w:rsidRDefault="00C21AE9" w:rsidP="008E397B">
      <w:pPr>
        <w:widowControl/>
        <w:spacing w:after="160" w:line="259" w:lineRule="auto"/>
        <w:ind w:left="1620" w:right="180" w:hanging="1620"/>
        <w:rPr>
          <w:u w:val="none"/>
        </w:rPr>
        <w:sectPr w:rsidR="000F3172" w:rsidRPr="008B594D" w:rsidSect="00ED755E">
          <w:headerReference w:type="default" r:id="rId21"/>
          <w:footerReference w:type="default" r:id="rId22"/>
          <w:footerReference w:type="first" r:id="rId23"/>
          <w:pgSz w:w="12240" w:h="15840"/>
          <w:pgMar w:top="1440" w:right="1440" w:bottom="1440" w:left="1440" w:header="720" w:footer="720" w:gutter="0"/>
          <w:pgNumType w:fmt="lowerRoman"/>
          <w:cols w:space="720"/>
          <w:docGrid w:linePitch="360"/>
        </w:sectPr>
      </w:pPr>
      <w:r w:rsidRPr="008B594D">
        <w:rPr>
          <w:u w:val="none"/>
        </w:rPr>
        <w:t xml:space="preserve">Attachment </w:t>
      </w:r>
      <w:r w:rsidR="00E358E8" w:rsidRPr="008B594D">
        <w:rPr>
          <w:u w:val="none"/>
        </w:rPr>
        <w:fldChar w:fldCharType="begin"/>
      </w:r>
      <w:r w:rsidR="00E358E8" w:rsidRPr="008B594D">
        <w:rPr>
          <w:u w:val="none"/>
        </w:rPr>
        <w:instrText xml:space="preserve">REF Bxx \* MERGEFORMAT </w:instrText>
      </w:r>
      <w:r w:rsidR="00E358E8" w:rsidRPr="008B594D">
        <w:rPr>
          <w:u w:val="none"/>
        </w:rPr>
        <w:fldChar w:fldCharType="separate"/>
      </w:r>
      <w:r w:rsidR="00ED755E">
        <w:rPr>
          <w:noProof/>
          <w:u w:val="none"/>
        </w:rPr>
        <w:t xml:space="preserve">   </w:t>
      </w:r>
      <w:r w:rsidR="00E358E8" w:rsidRPr="008B594D">
        <w:rPr>
          <w:noProof/>
          <w:u w:val="none"/>
        </w:rPr>
        <w:fldChar w:fldCharType="end"/>
      </w:r>
      <w:r w:rsidR="001E3C5B" w:rsidRPr="008B594D">
        <w:rPr>
          <w:u w:val="none"/>
        </w:rPr>
        <w:t xml:space="preserve"> </w:t>
      </w:r>
      <w:r w:rsidRPr="008B594D">
        <w:rPr>
          <w:u w:val="none"/>
        </w:rPr>
        <w:t>- Additional R</w:t>
      </w:r>
      <w:r w:rsidR="002F7108" w:rsidRPr="008B594D">
        <w:rPr>
          <w:u w:val="none"/>
        </w:rPr>
        <w:t>ules</w:t>
      </w:r>
      <w:r w:rsidRPr="008B594D">
        <w:rPr>
          <w:u w:val="none"/>
        </w:rPr>
        <w:t xml:space="preserve"> and Discretionary Policies</w:t>
      </w:r>
      <w:r w:rsidR="002F7108" w:rsidRPr="008B594D">
        <w:rPr>
          <w:u w:val="none"/>
        </w:rPr>
        <w:t xml:space="preserve"> – Tenant Eligibility</w:t>
      </w:r>
      <w:r w:rsidR="00781DDA" w:rsidRPr="008B594D">
        <w:rPr>
          <w:u w:val="none"/>
        </w:rPr>
        <w:t xml:space="preserve"> </w:t>
      </w:r>
      <w:r w:rsidR="00176C87" w:rsidRPr="008B594D">
        <w:rPr>
          <w:u w:val="none"/>
        </w:rPr>
        <w:t>Sections 102 and 104 of Housing Opportunity through Modernization Act of 2016</w:t>
      </w:r>
    </w:p>
    <w:p w14:paraId="7EEFEBD5" w14:textId="77777777" w:rsidR="00D953F7" w:rsidRDefault="00D953F7" w:rsidP="008E397B">
      <w:pPr>
        <w:ind w:right="180"/>
        <w:jc w:val="center"/>
        <w:rPr>
          <w:b/>
          <w:bCs/>
          <w:sz w:val="28"/>
          <w:szCs w:val="28"/>
          <w:u w:val="none"/>
        </w:rPr>
      </w:pPr>
    </w:p>
    <w:p w14:paraId="5537452F" w14:textId="77777777" w:rsidR="002238B7" w:rsidRDefault="002238B7" w:rsidP="008E397B">
      <w:pPr>
        <w:ind w:right="180"/>
        <w:jc w:val="center"/>
        <w:rPr>
          <w:b/>
          <w:bCs/>
          <w:sz w:val="28"/>
          <w:szCs w:val="28"/>
          <w:u w:val="none"/>
        </w:rPr>
      </w:pPr>
    </w:p>
    <w:p w14:paraId="44661130" w14:textId="77777777" w:rsidR="00D953F7" w:rsidRDefault="00D953F7" w:rsidP="008E397B">
      <w:pPr>
        <w:ind w:right="180"/>
        <w:jc w:val="center"/>
        <w:rPr>
          <w:b/>
          <w:bCs/>
          <w:sz w:val="28"/>
          <w:szCs w:val="28"/>
          <w:u w:val="none"/>
        </w:rPr>
      </w:pPr>
    </w:p>
    <w:p w14:paraId="1AAE349C" w14:textId="76931789" w:rsidR="00EC6A0D" w:rsidRPr="004368A0" w:rsidRDefault="000602C7" w:rsidP="008E397B">
      <w:pPr>
        <w:ind w:right="180"/>
        <w:jc w:val="center"/>
        <w:rPr>
          <w:b/>
          <w:bCs/>
          <w:sz w:val="28"/>
          <w:szCs w:val="28"/>
          <w:u w:val="none"/>
        </w:rPr>
      </w:pPr>
      <w:r w:rsidRPr="004368A0">
        <w:rPr>
          <w:b/>
          <w:bCs/>
          <w:sz w:val="28"/>
          <w:szCs w:val="28"/>
          <w:u w:val="none"/>
        </w:rPr>
        <w:t>Attachment</w:t>
      </w:r>
      <w:r w:rsidR="00F44C63" w:rsidRPr="004368A0">
        <w:rPr>
          <w:b/>
          <w:bCs/>
          <w:sz w:val="28"/>
          <w:szCs w:val="28"/>
          <w:u w:val="none"/>
        </w:rPr>
        <w:t xml:space="preserve"> </w:t>
      </w:r>
      <w:r w:rsidR="001E3C5B" w:rsidRPr="004368A0">
        <w:rPr>
          <w:b/>
          <w:bCs/>
          <w:sz w:val="28"/>
          <w:szCs w:val="28"/>
          <w:u w:val="none"/>
        </w:rPr>
        <w:fldChar w:fldCharType="begin"/>
      </w:r>
      <w:r w:rsidR="001E3C5B" w:rsidRPr="004368A0">
        <w:rPr>
          <w:b/>
          <w:bCs/>
          <w:sz w:val="28"/>
          <w:szCs w:val="28"/>
          <w:u w:val="none"/>
        </w:rPr>
        <w:instrText>REF Bxx</w:instrText>
      </w:r>
      <w:r w:rsidR="004368A0" w:rsidRPr="004368A0">
        <w:rPr>
          <w:b/>
          <w:bCs/>
          <w:sz w:val="28"/>
          <w:szCs w:val="28"/>
          <w:u w:val="none"/>
        </w:rPr>
        <w:instrText xml:space="preserve"> \* MERGEFORMAT </w:instrText>
      </w:r>
      <w:r w:rsidR="001E3C5B" w:rsidRPr="004368A0">
        <w:rPr>
          <w:b/>
          <w:bCs/>
          <w:sz w:val="28"/>
          <w:szCs w:val="28"/>
          <w:u w:val="none"/>
        </w:rPr>
        <w:fldChar w:fldCharType="separate"/>
      </w:r>
      <w:r w:rsidR="00ED755E" w:rsidRPr="00ED755E">
        <w:rPr>
          <w:b/>
          <w:bCs/>
          <w:noProof/>
          <w:u w:val="none"/>
        </w:rPr>
        <w:t xml:space="preserve">   </w:t>
      </w:r>
      <w:r w:rsidR="001E3C5B" w:rsidRPr="004368A0">
        <w:rPr>
          <w:b/>
          <w:bCs/>
          <w:sz w:val="28"/>
          <w:szCs w:val="28"/>
          <w:u w:val="none"/>
        </w:rPr>
        <w:fldChar w:fldCharType="end"/>
      </w:r>
    </w:p>
    <w:p w14:paraId="2824F3CE" w14:textId="77777777" w:rsidR="000602C7" w:rsidRPr="008B594D" w:rsidRDefault="000602C7" w:rsidP="008E397B">
      <w:pPr>
        <w:ind w:right="180"/>
        <w:jc w:val="center"/>
        <w:rPr>
          <w:b/>
          <w:bCs/>
          <w:sz w:val="28"/>
          <w:szCs w:val="28"/>
          <w:u w:val="none"/>
        </w:rPr>
      </w:pPr>
      <w:r w:rsidRPr="008B594D">
        <w:rPr>
          <w:b/>
          <w:bCs/>
          <w:sz w:val="28"/>
          <w:szCs w:val="28"/>
          <w:u w:val="none"/>
        </w:rPr>
        <w:t>Additional R</w:t>
      </w:r>
      <w:r w:rsidR="002F7108" w:rsidRPr="008B594D">
        <w:rPr>
          <w:b/>
          <w:bCs/>
          <w:sz w:val="28"/>
          <w:szCs w:val="28"/>
          <w:u w:val="none"/>
        </w:rPr>
        <w:t>ules</w:t>
      </w:r>
      <w:r w:rsidRPr="008B594D">
        <w:rPr>
          <w:b/>
          <w:bCs/>
          <w:sz w:val="28"/>
          <w:szCs w:val="28"/>
          <w:u w:val="none"/>
        </w:rPr>
        <w:t xml:space="preserve"> and Discretionary Policies</w:t>
      </w:r>
      <w:r w:rsidR="002F7108" w:rsidRPr="008B594D">
        <w:rPr>
          <w:b/>
          <w:bCs/>
          <w:sz w:val="28"/>
          <w:szCs w:val="28"/>
          <w:u w:val="none"/>
        </w:rPr>
        <w:t xml:space="preserve"> – Tenant Eligibility</w:t>
      </w:r>
    </w:p>
    <w:p w14:paraId="2CA9E2FB" w14:textId="77777777" w:rsidR="00176C87" w:rsidRPr="008B594D" w:rsidRDefault="00176C87" w:rsidP="008E397B">
      <w:pPr>
        <w:ind w:right="180"/>
        <w:jc w:val="center"/>
        <w:rPr>
          <w:b/>
          <w:bCs/>
          <w:sz w:val="28"/>
          <w:szCs w:val="28"/>
          <w:u w:val="none"/>
        </w:rPr>
      </w:pPr>
      <w:r w:rsidRPr="008B594D">
        <w:rPr>
          <w:b/>
          <w:bCs/>
          <w:sz w:val="28"/>
          <w:szCs w:val="28"/>
          <w:u w:val="none"/>
        </w:rPr>
        <w:t xml:space="preserve">Sections 102 and 104 of Housing Opportunity through </w:t>
      </w:r>
    </w:p>
    <w:p w14:paraId="0C75730E" w14:textId="77777777" w:rsidR="00176C87" w:rsidRPr="008B594D" w:rsidRDefault="00176C87" w:rsidP="008E397B">
      <w:pPr>
        <w:ind w:right="180"/>
        <w:jc w:val="center"/>
        <w:rPr>
          <w:b/>
          <w:bCs/>
          <w:sz w:val="28"/>
          <w:szCs w:val="28"/>
          <w:u w:val="none"/>
        </w:rPr>
      </w:pPr>
      <w:r w:rsidRPr="008B594D">
        <w:rPr>
          <w:b/>
          <w:bCs/>
          <w:sz w:val="28"/>
          <w:szCs w:val="28"/>
          <w:u w:val="none"/>
        </w:rPr>
        <w:t>Modernization Act of 2016</w:t>
      </w:r>
    </w:p>
    <w:p w14:paraId="10CB9896" w14:textId="77777777" w:rsidR="00717C75" w:rsidRPr="008B594D" w:rsidRDefault="00717C75" w:rsidP="008E397B">
      <w:pPr>
        <w:pStyle w:val="ListParagraph"/>
        <w:ind w:left="1080" w:right="180"/>
        <w:jc w:val="both"/>
        <w:rPr>
          <w:u w:val="none"/>
        </w:rPr>
      </w:pPr>
    </w:p>
    <w:p w14:paraId="6DA96451" w14:textId="77777777" w:rsidR="00717C75" w:rsidRPr="008B594D" w:rsidRDefault="00C21AE9" w:rsidP="008E397B">
      <w:pPr>
        <w:ind w:right="180"/>
        <w:jc w:val="both"/>
        <w:rPr>
          <w:u w:val="none"/>
        </w:rPr>
      </w:pPr>
      <w:r w:rsidRPr="008B594D">
        <w:rPr>
          <w:u w:val="none"/>
        </w:rPr>
        <w:t>Pursuant to Sections 102 and 104 of the Housing Opportunity through Modernization Act of 2016</w:t>
      </w:r>
      <w:r w:rsidR="003716C2" w:rsidRPr="008B594D">
        <w:rPr>
          <w:u w:val="none"/>
        </w:rPr>
        <w:t xml:space="preserve">, (“HOTMA”), in the determination of </w:t>
      </w:r>
      <w:r w:rsidR="002B0D13" w:rsidRPr="008B594D">
        <w:rPr>
          <w:u w:val="none"/>
        </w:rPr>
        <w:t>eligibility for tenancy</w:t>
      </w:r>
      <w:r w:rsidR="003716C2" w:rsidRPr="008B594D">
        <w:rPr>
          <w:u w:val="none"/>
        </w:rPr>
        <w:t xml:space="preserve">, the Agent shall comply with the </w:t>
      </w:r>
      <w:r w:rsidR="00D92599" w:rsidRPr="008B594D">
        <w:rPr>
          <w:u w:val="none"/>
        </w:rPr>
        <w:t xml:space="preserve">additional rules and </w:t>
      </w:r>
      <w:r w:rsidR="003716C2" w:rsidRPr="008B594D">
        <w:rPr>
          <w:u w:val="none"/>
        </w:rPr>
        <w:t xml:space="preserve">policies set forth in this attachment. </w:t>
      </w:r>
    </w:p>
    <w:p w14:paraId="167A6F9D" w14:textId="77777777" w:rsidR="00C21AE9" w:rsidRPr="008B594D" w:rsidRDefault="00C21AE9" w:rsidP="008E397B">
      <w:pPr>
        <w:ind w:right="180"/>
        <w:jc w:val="both"/>
        <w:rPr>
          <w:u w:val="none"/>
        </w:rPr>
      </w:pPr>
    </w:p>
    <w:p w14:paraId="72189AFF" w14:textId="77777777" w:rsidR="00C21AE9" w:rsidRPr="008B594D" w:rsidRDefault="00C21AE9" w:rsidP="008E397B">
      <w:pPr>
        <w:ind w:right="180"/>
        <w:jc w:val="both"/>
        <w:rPr>
          <w:u w:val="none"/>
        </w:rPr>
      </w:pPr>
      <w:r w:rsidRPr="008B594D">
        <w:rPr>
          <w:u w:val="none"/>
        </w:rPr>
        <w:t xml:space="preserve">Capitalized terms not otherwise defined within this attachment shall have the meaning ascribed to them in the Plan. </w:t>
      </w:r>
    </w:p>
    <w:p w14:paraId="34FF14FC" w14:textId="77777777" w:rsidR="00C21AE9" w:rsidRPr="008B594D" w:rsidRDefault="00C21AE9" w:rsidP="008E397B">
      <w:pPr>
        <w:ind w:right="180"/>
        <w:jc w:val="both"/>
        <w:rPr>
          <w:u w:val="none"/>
        </w:rPr>
      </w:pPr>
    </w:p>
    <w:p w14:paraId="38D4D433" w14:textId="77777777" w:rsidR="00717C75" w:rsidRPr="008B594D" w:rsidRDefault="00717C75" w:rsidP="008E397B">
      <w:pPr>
        <w:ind w:right="180"/>
        <w:jc w:val="both"/>
        <w:rPr>
          <w:u w:val="none"/>
        </w:rPr>
      </w:pPr>
      <w:r w:rsidRPr="008B594D">
        <w:rPr>
          <w:u w:val="none"/>
        </w:rPr>
        <w:t xml:space="preserve">This change is </w:t>
      </w:r>
      <w:r w:rsidR="003D0305" w:rsidRPr="008B594D">
        <w:rPr>
          <w:u w:val="none"/>
        </w:rPr>
        <w:t>effective May</w:t>
      </w:r>
      <w:r w:rsidRPr="008B594D">
        <w:rPr>
          <w:u w:val="none"/>
        </w:rPr>
        <w:t xml:space="preserve"> 31, 2024. However, the Owner/Agent must continue to follow the existing Plan and EIV policies &amp; procedures until the Agent’s software is compliant with TRACS 203A.</w:t>
      </w:r>
    </w:p>
    <w:p w14:paraId="57DD7B66" w14:textId="77777777" w:rsidR="00717C75" w:rsidRPr="008B594D" w:rsidRDefault="00717C75" w:rsidP="008E397B">
      <w:pPr>
        <w:pStyle w:val="ListParagraph"/>
        <w:ind w:right="180"/>
        <w:rPr>
          <w:u w:val="none"/>
        </w:rPr>
      </w:pPr>
    </w:p>
    <w:p w14:paraId="66D3CDD8" w14:textId="77777777" w:rsidR="00090F95" w:rsidRPr="008B594D" w:rsidRDefault="00090F95" w:rsidP="008E397B">
      <w:pPr>
        <w:pStyle w:val="ListParagraph"/>
        <w:ind w:left="0" w:right="180"/>
        <w:jc w:val="both"/>
        <w:rPr>
          <w:u w:val="none"/>
        </w:rPr>
      </w:pPr>
      <w:r w:rsidRPr="008B594D">
        <w:rPr>
          <w:u w:val="none"/>
        </w:rPr>
        <w:t>Applicable Programs (check as applicable):</w:t>
      </w:r>
    </w:p>
    <w:p w14:paraId="668CD6D8" w14:textId="77777777" w:rsidR="00090F95" w:rsidRPr="008B594D" w:rsidRDefault="00090F95" w:rsidP="008E397B">
      <w:pPr>
        <w:widowControl/>
        <w:autoSpaceDE w:val="0"/>
        <w:autoSpaceDN w:val="0"/>
        <w:adjustRightInd w:val="0"/>
        <w:ind w:right="180"/>
        <w:jc w:val="both"/>
        <w:rPr>
          <w:sz w:val="20"/>
          <w:u w:val="none"/>
        </w:rPr>
      </w:pPr>
    </w:p>
    <w:p w14:paraId="441B1494" w14:textId="77777777" w:rsidR="00090F95" w:rsidRPr="008B594D" w:rsidRDefault="00962582" w:rsidP="008E397B">
      <w:pPr>
        <w:pStyle w:val="ListParagraph"/>
        <w:ind w:left="1350" w:right="180" w:hanging="360"/>
        <w:jc w:val="both"/>
        <w:rPr>
          <w:u w:val="none"/>
        </w:rPr>
      </w:pPr>
      <w:sdt>
        <w:sdtPr>
          <w:rPr>
            <w:u w:val="none"/>
          </w:rPr>
          <w:id w:val="-2052680560"/>
          <w15:appearance w15:val="hidden"/>
          <w14:checkbox>
            <w14:checked w14:val="0"/>
            <w14:checkedState w14:val="00FC" w14:font="Wingdings"/>
            <w14:uncheckedState w14:val="2610" w14:font="MS Gothic"/>
          </w14:checkbox>
        </w:sdtPr>
        <w:sdtEndPr/>
        <w:sdtContent>
          <w:r w:rsidR="003A26CB">
            <w:rPr>
              <w:rFonts w:ascii="MS Gothic" w:eastAsia="MS Gothic" w:hAnsi="MS Gothic" w:hint="eastAsia"/>
              <w:u w:val="none"/>
            </w:rPr>
            <w:t>☐</w:t>
          </w:r>
        </w:sdtContent>
      </w:sdt>
      <w:r w:rsidR="00E14F50" w:rsidRPr="008B594D">
        <w:rPr>
          <w:u w:val="none"/>
        </w:rPr>
        <w:t xml:space="preserve"> </w:t>
      </w:r>
      <w:r w:rsidR="00E14F50" w:rsidRPr="008B594D">
        <w:rPr>
          <w:u w:val="none"/>
        </w:rPr>
        <w:tab/>
      </w:r>
      <w:r w:rsidR="00090F95" w:rsidRPr="008B594D">
        <w:rPr>
          <w:u w:val="none"/>
        </w:rPr>
        <w:t>Housing Choice Voucher (HCV</w:t>
      </w:r>
      <w:proofErr w:type="gramStart"/>
      <w:r w:rsidR="00090F95" w:rsidRPr="008B594D">
        <w:rPr>
          <w:u w:val="none"/>
        </w:rPr>
        <w:t>);</w:t>
      </w:r>
      <w:proofErr w:type="gramEnd"/>
    </w:p>
    <w:p w14:paraId="5DF1521F" w14:textId="77777777" w:rsidR="00090F95" w:rsidRPr="008B594D" w:rsidRDefault="00962582" w:rsidP="008E397B">
      <w:pPr>
        <w:pStyle w:val="ListParagraph"/>
        <w:ind w:left="1350" w:right="180" w:hanging="360"/>
        <w:jc w:val="both"/>
        <w:rPr>
          <w:u w:val="none"/>
        </w:rPr>
      </w:pPr>
      <w:sdt>
        <w:sdtPr>
          <w:rPr>
            <w:u w:val="none"/>
          </w:rPr>
          <w:id w:val="-1349484761"/>
          <w15:appearance w15:val="hidden"/>
          <w14:checkbox>
            <w14:checked w14:val="0"/>
            <w14:checkedState w14:val="00FC" w14:font="Wingdings"/>
            <w14:uncheckedState w14:val="2610" w14:font="MS Gothic"/>
          </w14:checkbox>
        </w:sdtPr>
        <w:sdtEndPr/>
        <w:sdtContent>
          <w:r w:rsidR="003A26CB">
            <w:rPr>
              <w:rFonts w:ascii="MS Gothic" w:eastAsia="MS Gothic" w:hAnsi="MS Gothic" w:hint="eastAsia"/>
              <w:u w:val="none"/>
            </w:rPr>
            <w:t>☐</w:t>
          </w:r>
        </w:sdtContent>
      </w:sdt>
      <w:r w:rsidR="00E14F50" w:rsidRPr="008B594D">
        <w:rPr>
          <w:u w:val="none"/>
        </w:rPr>
        <w:t xml:space="preserve"> </w:t>
      </w:r>
      <w:r w:rsidR="00E14F50" w:rsidRPr="008B594D">
        <w:rPr>
          <w:u w:val="none"/>
        </w:rPr>
        <w:tab/>
      </w:r>
      <w:r w:rsidR="00090F95" w:rsidRPr="008B594D">
        <w:rPr>
          <w:u w:val="none"/>
        </w:rPr>
        <w:t>Section 8 Moderate Rehabilitation (Mod Rehab</w:t>
      </w:r>
      <w:proofErr w:type="gramStart"/>
      <w:r w:rsidR="00090F95" w:rsidRPr="008B594D">
        <w:rPr>
          <w:u w:val="none"/>
        </w:rPr>
        <w:t>);</w:t>
      </w:r>
      <w:proofErr w:type="gramEnd"/>
    </w:p>
    <w:p w14:paraId="0DE85FBC" w14:textId="77777777" w:rsidR="00090F95" w:rsidRPr="008B594D" w:rsidRDefault="00962582" w:rsidP="008E397B">
      <w:pPr>
        <w:pStyle w:val="ListParagraph"/>
        <w:ind w:left="1350" w:right="180" w:hanging="360"/>
        <w:jc w:val="both"/>
        <w:rPr>
          <w:u w:val="none"/>
        </w:rPr>
      </w:pPr>
      <w:sdt>
        <w:sdtPr>
          <w:rPr>
            <w:u w:val="none"/>
          </w:rPr>
          <w:id w:val="-1016921923"/>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E14F50" w:rsidRPr="008B594D">
        <w:rPr>
          <w:u w:val="none"/>
        </w:rPr>
        <w:t xml:space="preserve"> </w:t>
      </w:r>
      <w:r w:rsidR="00E14F50" w:rsidRPr="008B594D">
        <w:rPr>
          <w:u w:val="none"/>
        </w:rPr>
        <w:tab/>
      </w:r>
      <w:r w:rsidR="00090F95" w:rsidRPr="008B594D">
        <w:rPr>
          <w:u w:val="none"/>
        </w:rPr>
        <w:t>Section 8 Moderate Rehabilitation Single Room Occupancy (SRO</w:t>
      </w:r>
      <w:proofErr w:type="gramStart"/>
      <w:r w:rsidR="00090F95" w:rsidRPr="008B594D">
        <w:rPr>
          <w:u w:val="none"/>
        </w:rPr>
        <w:t>);</w:t>
      </w:r>
      <w:proofErr w:type="gramEnd"/>
    </w:p>
    <w:p w14:paraId="26AD5510" w14:textId="77777777" w:rsidR="00090F95" w:rsidRPr="008B594D" w:rsidRDefault="00962582" w:rsidP="008E397B">
      <w:pPr>
        <w:pStyle w:val="ListParagraph"/>
        <w:ind w:left="1350" w:right="180" w:hanging="360"/>
        <w:jc w:val="both"/>
        <w:rPr>
          <w:u w:val="none"/>
        </w:rPr>
      </w:pPr>
      <w:sdt>
        <w:sdtPr>
          <w:rPr>
            <w:u w:val="none"/>
          </w:rPr>
          <w:id w:val="-1449158201"/>
          <w15:appearance w15:val="hidden"/>
          <w14:checkbox>
            <w14:checked w14:val="0"/>
            <w14:checkedState w14:val="00FC" w14:font="Wingdings"/>
            <w14:uncheckedState w14:val="2610" w14:font="MS Gothic"/>
          </w14:checkbox>
        </w:sdtPr>
        <w:sdtEndPr/>
        <w:sdtContent>
          <w:r w:rsidR="003A26CB">
            <w:rPr>
              <w:rFonts w:ascii="MS Gothic" w:eastAsia="MS Gothic" w:hAnsi="MS Gothic" w:hint="eastAsia"/>
              <w:u w:val="none"/>
            </w:rPr>
            <w:t>☐</w:t>
          </w:r>
        </w:sdtContent>
      </w:sdt>
      <w:r w:rsidR="00E14F50" w:rsidRPr="008B594D">
        <w:rPr>
          <w:u w:val="none"/>
        </w:rPr>
        <w:t xml:space="preserve"> </w:t>
      </w:r>
      <w:r w:rsidR="00E14F50" w:rsidRPr="008B594D">
        <w:rPr>
          <w:u w:val="none"/>
        </w:rPr>
        <w:tab/>
      </w:r>
      <w:r w:rsidR="00090F95" w:rsidRPr="008B594D">
        <w:rPr>
          <w:u w:val="none"/>
        </w:rPr>
        <w:t>Section 8 Project-Based Rental Assistance (PBRA</w:t>
      </w:r>
      <w:proofErr w:type="gramStart"/>
      <w:r w:rsidR="00090F95" w:rsidRPr="008B594D">
        <w:rPr>
          <w:u w:val="none"/>
        </w:rPr>
        <w:t>);</w:t>
      </w:r>
      <w:proofErr w:type="gramEnd"/>
    </w:p>
    <w:p w14:paraId="62A50F44" w14:textId="77777777" w:rsidR="00F67907" w:rsidRPr="008B594D" w:rsidRDefault="00962582" w:rsidP="008E397B">
      <w:pPr>
        <w:pStyle w:val="ListParagraph"/>
        <w:ind w:left="1350" w:right="180" w:hanging="360"/>
        <w:jc w:val="both"/>
        <w:rPr>
          <w:u w:val="none"/>
        </w:rPr>
      </w:pPr>
      <w:sdt>
        <w:sdtPr>
          <w:rPr>
            <w:u w:val="none"/>
          </w:rPr>
          <w:id w:val="1965995777"/>
          <w15:appearance w15:val="hidden"/>
          <w14:checkbox>
            <w14:checked w14:val="0"/>
            <w14:checkedState w14:val="00FC" w14:font="Wingdings"/>
            <w14:uncheckedState w14:val="2610" w14:font="MS Gothic"/>
          </w14:checkbox>
        </w:sdtPr>
        <w:sdtEndPr/>
        <w:sdtContent>
          <w:r w:rsidR="003A26CB">
            <w:rPr>
              <w:rFonts w:ascii="MS Gothic" w:eastAsia="MS Gothic" w:hAnsi="MS Gothic" w:hint="eastAsia"/>
              <w:u w:val="none"/>
            </w:rPr>
            <w:t>☐</w:t>
          </w:r>
        </w:sdtContent>
      </w:sdt>
      <w:r w:rsidR="00E14F50" w:rsidRPr="008B594D">
        <w:rPr>
          <w:u w:val="none"/>
        </w:rPr>
        <w:t xml:space="preserve"> </w:t>
      </w:r>
      <w:r w:rsidR="00E14F50" w:rsidRPr="008B594D">
        <w:rPr>
          <w:u w:val="none"/>
        </w:rPr>
        <w:tab/>
      </w:r>
      <w:r w:rsidR="00090F95" w:rsidRPr="008B594D">
        <w:rPr>
          <w:u w:val="none"/>
        </w:rPr>
        <w:t xml:space="preserve">Section </w:t>
      </w:r>
      <w:proofErr w:type="gramStart"/>
      <w:r w:rsidR="00090F95" w:rsidRPr="008B594D">
        <w:rPr>
          <w:u w:val="none"/>
        </w:rPr>
        <w:t>202/8;</w:t>
      </w:r>
      <w:proofErr w:type="gramEnd"/>
    </w:p>
    <w:p w14:paraId="71479657" w14:textId="77777777" w:rsidR="00090F95" w:rsidRPr="008B594D" w:rsidRDefault="00962582" w:rsidP="008E397B">
      <w:pPr>
        <w:pStyle w:val="ListParagraph"/>
        <w:ind w:left="1350" w:right="180" w:hanging="360"/>
        <w:jc w:val="both"/>
        <w:rPr>
          <w:u w:val="none"/>
        </w:rPr>
      </w:pPr>
      <w:sdt>
        <w:sdtPr>
          <w:rPr>
            <w:u w:val="none"/>
          </w:rPr>
          <w:id w:val="-1097864002"/>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E14F50" w:rsidRPr="008B594D">
        <w:rPr>
          <w:u w:val="none"/>
        </w:rPr>
        <w:t xml:space="preserve"> </w:t>
      </w:r>
      <w:r w:rsidR="001C5070" w:rsidRPr="008B594D">
        <w:rPr>
          <w:u w:val="none"/>
        </w:rPr>
        <w:t xml:space="preserve"> </w:t>
      </w:r>
      <w:r w:rsidR="00BA4193" w:rsidRPr="008B594D">
        <w:rPr>
          <w:u w:val="none"/>
        </w:rPr>
        <w:t>Section 202/811 Capital Advance with Project Rental Assistance Contracts (202/811 PRAC</w:t>
      </w:r>
      <w:proofErr w:type="gramStart"/>
      <w:r w:rsidR="00BA4193" w:rsidRPr="008B594D">
        <w:rPr>
          <w:u w:val="none"/>
        </w:rPr>
        <w:t>);</w:t>
      </w:r>
      <w:proofErr w:type="gramEnd"/>
    </w:p>
    <w:p w14:paraId="625F845C" w14:textId="77777777" w:rsidR="00090F95" w:rsidRPr="008B594D" w:rsidRDefault="00962582" w:rsidP="008E397B">
      <w:pPr>
        <w:pStyle w:val="ListParagraph"/>
        <w:ind w:left="1350" w:right="180" w:hanging="360"/>
        <w:jc w:val="both"/>
        <w:rPr>
          <w:u w:val="none"/>
        </w:rPr>
      </w:pPr>
      <w:sdt>
        <w:sdtPr>
          <w:rPr>
            <w:u w:val="none"/>
          </w:rPr>
          <w:id w:val="-17080632"/>
          <w15:appearance w15:val="hidden"/>
          <w14:checkbox>
            <w14:checked w14:val="0"/>
            <w14:checkedState w14:val="00FC" w14:font="Wingdings"/>
            <w14:uncheckedState w14:val="2610" w14:font="MS Gothic"/>
          </w14:checkbox>
        </w:sdtPr>
        <w:sdtEndPr/>
        <w:sdtContent>
          <w:r w:rsidR="003A26CB">
            <w:rPr>
              <w:rFonts w:ascii="MS Gothic" w:eastAsia="MS Gothic" w:hAnsi="MS Gothic" w:hint="eastAsia"/>
              <w:u w:val="none"/>
            </w:rPr>
            <w:t>☐</w:t>
          </w:r>
        </w:sdtContent>
      </w:sdt>
      <w:r w:rsidR="00E14F50" w:rsidRPr="008B594D">
        <w:rPr>
          <w:u w:val="none"/>
        </w:rPr>
        <w:t xml:space="preserve"> </w:t>
      </w:r>
      <w:r w:rsidR="00E14F50" w:rsidRPr="008B594D">
        <w:rPr>
          <w:u w:val="none"/>
        </w:rPr>
        <w:tab/>
      </w:r>
      <w:r w:rsidR="00090F95" w:rsidRPr="008B594D">
        <w:rPr>
          <w:u w:val="none"/>
        </w:rPr>
        <w:t>Section 811 Project Rental Assistance (811 PRA</w:t>
      </w:r>
      <w:proofErr w:type="gramStart"/>
      <w:r w:rsidR="00090F95" w:rsidRPr="008B594D">
        <w:rPr>
          <w:u w:val="none"/>
        </w:rPr>
        <w:t>);</w:t>
      </w:r>
      <w:proofErr w:type="gramEnd"/>
      <w:r w:rsidR="00090F95" w:rsidRPr="008B594D">
        <w:rPr>
          <w:u w:val="none"/>
        </w:rPr>
        <w:t xml:space="preserve"> </w:t>
      </w:r>
    </w:p>
    <w:p w14:paraId="0565A7E6" w14:textId="77777777" w:rsidR="00090F95" w:rsidRPr="008B594D" w:rsidRDefault="00962582" w:rsidP="008E397B">
      <w:pPr>
        <w:pStyle w:val="ListParagraph"/>
        <w:ind w:left="1350" w:right="180" w:hanging="360"/>
        <w:jc w:val="both"/>
        <w:rPr>
          <w:u w:val="none"/>
        </w:rPr>
      </w:pPr>
      <w:sdt>
        <w:sdtPr>
          <w:rPr>
            <w:u w:val="none"/>
          </w:rPr>
          <w:id w:val="-609124968"/>
          <w15:appearance w15:val="hidden"/>
          <w14:checkbox>
            <w14:checked w14:val="0"/>
            <w14:checkedState w14:val="00FC" w14:font="Wingdings"/>
            <w14:uncheckedState w14:val="2610" w14:font="MS Gothic"/>
          </w14:checkbox>
        </w:sdtPr>
        <w:sdtEndPr/>
        <w:sdtContent>
          <w:r w:rsidR="003A26CB">
            <w:rPr>
              <w:rFonts w:ascii="MS Gothic" w:eastAsia="MS Gothic" w:hAnsi="MS Gothic" w:hint="eastAsia"/>
              <w:u w:val="none"/>
            </w:rPr>
            <w:t>☐</w:t>
          </w:r>
        </w:sdtContent>
      </w:sdt>
      <w:r w:rsidR="00E14F50" w:rsidRPr="008B594D">
        <w:rPr>
          <w:u w:val="none"/>
        </w:rPr>
        <w:t xml:space="preserve"> </w:t>
      </w:r>
      <w:r w:rsidR="00E14F50" w:rsidRPr="008B594D">
        <w:rPr>
          <w:u w:val="none"/>
        </w:rPr>
        <w:tab/>
      </w:r>
      <w:r w:rsidR="00090F95" w:rsidRPr="008B594D">
        <w:rPr>
          <w:u w:val="none"/>
        </w:rPr>
        <w:t>Senior Preservation Rental Assistance Contracts (SPRAC</w:t>
      </w:r>
      <w:proofErr w:type="gramStart"/>
      <w:r w:rsidR="00090F95" w:rsidRPr="008B594D">
        <w:rPr>
          <w:u w:val="none"/>
        </w:rPr>
        <w:t>)</w:t>
      </w:r>
      <w:r w:rsidR="00BA4193" w:rsidRPr="008B594D">
        <w:rPr>
          <w:u w:val="none"/>
        </w:rPr>
        <w:t>;</w:t>
      </w:r>
      <w:proofErr w:type="gramEnd"/>
    </w:p>
    <w:p w14:paraId="27E6DA4E" w14:textId="77777777" w:rsidR="00090F95" w:rsidRPr="008B594D" w:rsidRDefault="00962582" w:rsidP="008E397B">
      <w:pPr>
        <w:pStyle w:val="ListParagraph"/>
        <w:ind w:left="1350" w:right="180" w:hanging="360"/>
        <w:jc w:val="both"/>
        <w:rPr>
          <w:u w:val="none"/>
        </w:rPr>
      </w:pPr>
      <w:sdt>
        <w:sdtPr>
          <w:rPr>
            <w:u w:val="none"/>
          </w:rPr>
          <w:id w:val="2011955731"/>
          <w15:appearance w15:val="hidden"/>
          <w14:checkbox>
            <w14:checked w14:val="0"/>
            <w14:checkedState w14:val="00FC" w14:font="Wingdings"/>
            <w14:uncheckedState w14:val="2610" w14:font="MS Gothic"/>
          </w14:checkbox>
        </w:sdtPr>
        <w:sdtEndPr/>
        <w:sdtContent>
          <w:r w:rsidR="003A26CB">
            <w:rPr>
              <w:rFonts w:ascii="MS Gothic" w:eastAsia="MS Gothic" w:hAnsi="MS Gothic" w:hint="eastAsia"/>
              <w:u w:val="none"/>
            </w:rPr>
            <w:t>☐</w:t>
          </w:r>
        </w:sdtContent>
      </w:sdt>
      <w:r w:rsidR="00E14F50" w:rsidRPr="008B594D">
        <w:rPr>
          <w:u w:val="none"/>
        </w:rPr>
        <w:t xml:space="preserve"> </w:t>
      </w:r>
      <w:r w:rsidR="00E14F50" w:rsidRPr="008B594D">
        <w:rPr>
          <w:u w:val="none"/>
        </w:rPr>
        <w:tab/>
      </w:r>
      <w:r w:rsidR="00090F95" w:rsidRPr="008B594D">
        <w:rPr>
          <w:u w:val="none"/>
        </w:rPr>
        <w:t>Low Income Housing Tax Credits</w:t>
      </w:r>
      <w:r w:rsidR="00BA4193" w:rsidRPr="008B594D">
        <w:rPr>
          <w:u w:val="none"/>
        </w:rPr>
        <w:t>; and</w:t>
      </w:r>
    </w:p>
    <w:tbl>
      <w:tblPr>
        <w:tblStyle w:val="TableGrid"/>
        <w:tblW w:w="4427" w:type="pct"/>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8287"/>
      </w:tblGrid>
      <w:tr w:rsidR="00893384" w:rsidRPr="000E1DE0" w14:paraId="7BBC14EB" w14:textId="77777777" w:rsidTr="00624231">
        <w:trPr>
          <w:trHeight w:hRule="exact" w:val="1385"/>
        </w:trPr>
        <w:tc>
          <w:tcPr>
            <w:tcW w:w="5000" w:type="pct"/>
          </w:tcPr>
          <w:p w14:paraId="5E519B34" w14:textId="77777777" w:rsidR="00893384" w:rsidRPr="000E1DE0" w:rsidRDefault="00962582" w:rsidP="00624231">
            <w:pPr>
              <w:ind w:right="-29"/>
              <w:jc w:val="both"/>
              <w:rPr>
                <w:i/>
                <w:iCs/>
                <w:u w:val="none"/>
              </w:rPr>
            </w:pPr>
            <w:sdt>
              <w:sdtPr>
                <w:rPr>
                  <w:u w:val="none"/>
                </w:rPr>
                <w:id w:val="-775709174"/>
                <w15:appearance w15:val="hidden"/>
                <w14:checkbox>
                  <w14:checked w14:val="0"/>
                  <w14:checkedState w14:val="00FC" w14:font="Wingdings"/>
                  <w14:uncheckedState w14:val="2610" w14:font="MS Gothic"/>
                </w14:checkbox>
              </w:sdtPr>
              <w:sdtEndPr/>
              <w:sdtContent>
                <w:r w:rsidR="00893384">
                  <w:rPr>
                    <w:rFonts w:ascii="MS Gothic" w:eastAsia="MS Gothic" w:hAnsi="MS Gothic" w:hint="eastAsia"/>
                    <w:u w:val="none"/>
                  </w:rPr>
                  <w:t>☐</w:t>
                </w:r>
              </w:sdtContent>
            </w:sdt>
            <w:r w:rsidR="00893384" w:rsidRPr="008B594D">
              <w:rPr>
                <w:u w:val="none"/>
              </w:rPr>
              <w:t>Other:</w:t>
            </w:r>
            <w:r w:rsidR="00893384">
              <w:rPr>
                <w:u w:val="none"/>
              </w:rPr>
              <w:t xml:space="preserve"> </w:t>
            </w:r>
            <w:r w:rsidR="00893384">
              <w:rPr>
                <w:i/>
                <w:iCs/>
                <w:u w:val="none"/>
              </w:rPr>
              <w:fldChar w:fldCharType="begin">
                <w:ffData>
                  <w:name w:val=""/>
                  <w:enabled/>
                  <w:calcOnExit/>
                  <w:textInput>
                    <w:maxLength w:val="200"/>
                  </w:textInput>
                </w:ffData>
              </w:fldChar>
            </w:r>
            <w:r w:rsidR="00893384">
              <w:rPr>
                <w:i/>
                <w:iCs/>
                <w:u w:val="none"/>
              </w:rPr>
              <w:instrText xml:space="preserve"> FORMTEXT </w:instrText>
            </w:r>
            <w:r w:rsidR="00893384">
              <w:rPr>
                <w:i/>
                <w:iCs/>
                <w:u w:val="none"/>
              </w:rPr>
            </w:r>
            <w:r w:rsidR="00893384">
              <w:rPr>
                <w:i/>
                <w:iCs/>
                <w:u w:val="none"/>
              </w:rPr>
              <w:fldChar w:fldCharType="separate"/>
            </w:r>
            <w:r w:rsidR="00624231">
              <w:rPr>
                <w:i/>
                <w:iCs/>
                <w:noProof/>
                <w:u w:val="none"/>
              </w:rPr>
              <w:t> </w:t>
            </w:r>
            <w:r w:rsidR="00624231">
              <w:rPr>
                <w:i/>
                <w:iCs/>
                <w:noProof/>
                <w:u w:val="none"/>
              </w:rPr>
              <w:t> </w:t>
            </w:r>
            <w:r w:rsidR="00624231">
              <w:rPr>
                <w:i/>
                <w:iCs/>
                <w:noProof/>
                <w:u w:val="none"/>
              </w:rPr>
              <w:t> </w:t>
            </w:r>
            <w:r w:rsidR="00624231">
              <w:rPr>
                <w:i/>
                <w:iCs/>
                <w:noProof/>
                <w:u w:val="none"/>
              </w:rPr>
              <w:t> </w:t>
            </w:r>
            <w:r w:rsidR="00624231">
              <w:rPr>
                <w:i/>
                <w:iCs/>
                <w:noProof/>
                <w:u w:val="none"/>
              </w:rPr>
              <w:t> </w:t>
            </w:r>
            <w:r w:rsidR="00893384">
              <w:rPr>
                <w:i/>
                <w:iCs/>
                <w:u w:val="none"/>
              </w:rPr>
              <w:fldChar w:fldCharType="end"/>
            </w:r>
          </w:p>
        </w:tc>
      </w:tr>
    </w:tbl>
    <w:p w14:paraId="797B8550" w14:textId="77777777" w:rsidR="00893384" w:rsidRDefault="00893384" w:rsidP="008E397B">
      <w:pPr>
        <w:pStyle w:val="ListParagraph"/>
        <w:ind w:left="1080" w:right="180"/>
        <w:jc w:val="both"/>
        <w:rPr>
          <w:u w:val="none"/>
        </w:rPr>
      </w:pPr>
    </w:p>
    <w:p w14:paraId="12B63757" w14:textId="77777777" w:rsidR="00893384" w:rsidRDefault="00893384" w:rsidP="008E397B">
      <w:pPr>
        <w:pStyle w:val="ListParagraph"/>
        <w:ind w:left="1080" w:right="180"/>
        <w:jc w:val="both"/>
        <w:rPr>
          <w:u w:val="none"/>
        </w:rPr>
      </w:pPr>
    </w:p>
    <w:p w14:paraId="7375C005" w14:textId="77777777" w:rsidR="00893384" w:rsidRDefault="00893384" w:rsidP="008E397B">
      <w:pPr>
        <w:pStyle w:val="ListParagraph"/>
        <w:ind w:left="1080" w:right="180"/>
        <w:jc w:val="both"/>
        <w:rPr>
          <w:u w:val="none"/>
        </w:rPr>
      </w:pPr>
    </w:p>
    <w:p w14:paraId="07548199" w14:textId="77777777" w:rsidR="00893384" w:rsidRPr="008B594D" w:rsidRDefault="00893384" w:rsidP="008E397B">
      <w:pPr>
        <w:pStyle w:val="ListParagraph"/>
        <w:ind w:left="1080" w:right="180"/>
        <w:jc w:val="both"/>
        <w:rPr>
          <w:u w:val="none"/>
        </w:rPr>
      </w:pPr>
    </w:p>
    <w:p w14:paraId="4FFC6EC6" w14:textId="77777777" w:rsidR="00D05899" w:rsidRPr="008B594D" w:rsidRDefault="003D6EDF" w:rsidP="008E397B">
      <w:pPr>
        <w:ind w:right="180"/>
        <w:jc w:val="both"/>
        <w:rPr>
          <w:i/>
          <w:iCs/>
          <w:u w:val="none"/>
        </w:rPr>
      </w:pPr>
      <w:r w:rsidRPr="008B594D">
        <w:rPr>
          <w:i/>
          <w:iCs/>
          <w:u w:val="none"/>
        </w:rPr>
        <w:t xml:space="preserve">[Note: The applicability of the additional rules and discretionary policies within this modification are subject to the </w:t>
      </w:r>
      <w:r w:rsidR="00D05899" w:rsidRPr="008B594D">
        <w:rPr>
          <w:i/>
          <w:iCs/>
          <w:u w:val="none"/>
        </w:rPr>
        <w:t>program(s) selected above.</w:t>
      </w:r>
      <w:r w:rsidRPr="008B594D">
        <w:rPr>
          <w:i/>
          <w:iCs/>
          <w:u w:val="none"/>
        </w:rPr>
        <w:t>]</w:t>
      </w:r>
    </w:p>
    <w:p w14:paraId="22327181" w14:textId="77777777" w:rsidR="00774D68" w:rsidRPr="008B594D" w:rsidRDefault="00774D68" w:rsidP="008E397B">
      <w:pPr>
        <w:widowControl/>
        <w:spacing w:after="160" w:line="259" w:lineRule="auto"/>
        <w:ind w:right="180"/>
        <w:rPr>
          <w:u w:val="none"/>
        </w:rPr>
      </w:pPr>
    </w:p>
    <w:p w14:paraId="043937F6" w14:textId="77777777" w:rsidR="00774D68" w:rsidRPr="008B594D" w:rsidRDefault="00774D68" w:rsidP="008E397B">
      <w:pPr>
        <w:widowControl/>
        <w:spacing w:after="160" w:line="259" w:lineRule="auto"/>
        <w:ind w:right="180"/>
        <w:rPr>
          <w:u w:val="none"/>
        </w:rPr>
      </w:pPr>
    </w:p>
    <w:p w14:paraId="22248088" w14:textId="77777777" w:rsidR="004F7143" w:rsidRDefault="004F7143" w:rsidP="008E397B">
      <w:pPr>
        <w:widowControl/>
        <w:spacing w:after="160" w:line="259" w:lineRule="auto"/>
        <w:ind w:right="180"/>
        <w:rPr>
          <w:u w:val="none"/>
        </w:rPr>
      </w:pPr>
    </w:p>
    <w:p w14:paraId="6D63A2AB" w14:textId="77777777" w:rsidR="00981304" w:rsidRPr="00837380" w:rsidRDefault="00981304" w:rsidP="00837380">
      <w:pPr>
        <w:jc w:val="center"/>
        <w:rPr>
          <w:b/>
          <w:bCs/>
          <w:sz w:val="28"/>
          <w:szCs w:val="28"/>
        </w:rPr>
      </w:pPr>
      <w:r w:rsidRPr="00837380">
        <w:rPr>
          <w:b/>
          <w:bCs/>
          <w:sz w:val="28"/>
          <w:szCs w:val="28"/>
        </w:rPr>
        <w:lastRenderedPageBreak/>
        <w:t>List of Additional Rules and Policies</w:t>
      </w:r>
    </w:p>
    <w:p w14:paraId="22645BFB" w14:textId="77777777" w:rsidR="00981304" w:rsidRPr="00837380" w:rsidRDefault="00981304" w:rsidP="00837380">
      <w:pPr>
        <w:rPr>
          <w:u w:val="none"/>
        </w:rPr>
      </w:pPr>
    </w:p>
    <w:tbl>
      <w:tblPr>
        <w:tblStyle w:val="TableGrid"/>
        <w:tblpPr w:leftFromText="180" w:rightFromText="180" w:vertAnchor="text" w:horzAnchor="margin" w:tblpXSpec="center" w:tblpY="54"/>
        <w:tblW w:w="0" w:type="auto"/>
        <w:jc w:val="center"/>
        <w:tblCellMar>
          <w:top w:w="202" w:type="dxa"/>
          <w:left w:w="360" w:type="dxa"/>
          <w:bottom w:w="29" w:type="dxa"/>
          <w:right w:w="360" w:type="dxa"/>
        </w:tblCellMar>
        <w:tblLook w:val="04A0" w:firstRow="1" w:lastRow="0" w:firstColumn="1" w:lastColumn="0" w:noHBand="0" w:noVBand="1"/>
      </w:tblPr>
      <w:tblGrid>
        <w:gridCol w:w="8285"/>
      </w:tblGrid>
      <w:tr w:rsidR="00981304" w:rsidRPr="00837380" w14:paraId="29FCFBE8" w14:textId="77777777" w:rsidTr="00837380">
        <w:trPr>
          <w:trHeight w:val="1588"/>
          <w:jc w:val="center"/>
        </w:trPr>
        <w:tc>
          <w:tcPr>
            <w:tcW w:w="8285" w:type="dxa"/>
            <w:tcBorders>
              <w:top w:val="single" w:sz="4" w:space="0" w:color="auto"/>
            </w:tcBorders>
          </w:tcPr>
          <w:p w14:paraId="7F296859" w14:textId="77777777" w:rsidR="00981304" w:rsidRPr="00837380" w:rsidRDefault="00981304" w:rsidP="00FE0C37">
            <w:pPr>
              <w:pStyle w:val="ListParagraph"/>
              <w:numPr>
                <w:ilvl w:val="0"/>
                <w:numId w:val="14"/>
              </w:numPr>
              <w:rPr>
                <w:b/>
                <w:bCs/>
                <w:sz w:val="28"/>
                <w:szCs w:val="22"/>
                <w:u w:val="none"/>
              </w:rPr>
            </w:pPr>
            <w:r w:rsidRPr="00837380">
              <w:rPr>
                <w:b/>
                <w:bCs/>
                <w:sz w:val="28"/>
                <w:szCs w:val="22"/>
                <w:u w:val="none"/>
              </w:rPr>
              <w:t>Asset Limitation</w:t>
            </w:r>
          </w:p>
          <w:p w14:paraId="72951910" w14:textId="77777777" w:rsidR="00837380" w:rsidRDefault="00981304" w:rsidP="00FE0C37">
            <w:pPr>
              <w:pStyle w:val="ListParagraph"/>
              <w:numPr>
                <w:ilvl w:val="0"/>
                <w:numId w:val="15"/>
              </w:numPr>
              <w:ind w:left="990"/>
              <w:rPr>
                <w:u w:val="none"/>
              </w:rPr>
            </w:pPr>
            <w:r w:rsidRPr="00837380">
              <w:rPr>
                <w:u w:val="none"/>
              </w:rPr>
              <w:t>New Admissions</w:t>
            </w:r>
          </w:p>
          <w:p w14:paraId="5CEF6908" w14:textId="77777777" w:rsidR="00837380" w:rsidRDefault="00837380" w:rsidP="00FE0C37">
            <w:pPr>
              <w:pStyle w:val="ListParagraph"/>
              <w:numPr>
                <w:ilvl w:val="0"/>
                <w:numId w:val="15"/>
              </w:numPr>
              <w:ind w:left="990"/>
              <w:rPr>
                <w:u w:val="none"/>
              </w:rPr>
            </w:pPr>
            <w:r w:rsidRPr="00837380">
              <w:rPr>
                <w:u w:val="none"/>
              </w:rPr>
              <w:t>Annual and Interim Reexaminations</w:t>
            </w:r>
          </w:p>
          <w:p w14:paraId="679D393C" w14:textId="77777777" w:rsidR="00837380" w:rsidRDefault="00981304" w:rsidP="00FE0C37">
            <w:pPr>
              <w:pStyle w:val="ListParagraph"/>
              <w:numPr>
                <w:ilvl w:val="0"/>
                <w:numId w:val="16"/>
              </w:numPr>
              <w:ind w:left="1260" w:hanging="270"/>
              <w:rPr>
                <w:u w:val="none"/>
              </w:rPr>
            </w:pPr>
            <w:r w:rsidRPr="00837380">
              <w:rPr>
                <w:u w:val="none"/>
              </w:rPr>
              <w:t>Enforcement Options</w:t>
            </w:r>
          </w:p>
          <w:p w14:paraId="15A9B121" w14:textId="77777777" w:rsidR="00981304" w:rsidRPr="00837380" w:rsidRDefault="00976A6C" w:rsidP="00FE0C37">
            <w:pPr>
              <w:pStyle w:val="ListParagraph"/>
              <w:numPr>
                <w:ilvl w:val="0"/>
                <w:numId w:val="16"/>
              </w:numPr>
              <w:ind w:left="1260" w:hanging="270"/>
              <w:rPr>
                <w:sz w:val="28"/>
                <w:szCs w:val="22"/>
                <w:u w:val="none"/>
              </w:rPr>
            </w:pPr>
            <w:r>
              <w:rPr>
                <w:u w:val="none"/>
              </w:rPr>
              <w:t>Exception</w:t>
            </w:r>
            <w:r w:rsidR="00981304" w:rsidRPr="00837380">
              <w:rPr>
                <w:u w:val="none"/>
              </w:rPr>
              <w:t xml:space="preserve"> Policies</w:t>
            </w:r>
          </w:p>
        </w:tc>
      </w:tr>
      <w:tr w:rsidR="00981304" w:rsidRPr="00837380" w14:paraId="512F6979" w14:textId="77777777" w:rsidTr="00412950">
        <w:trPr>
          <w:trHeight w:val="1012"/>
          <w:jc w:val="center"/>
        </w:trPr>
        <w:tc>
          <w:tcPr>
            <w:tcW w:w="8285" w:type="dxa"/>
          </w:tcPr>
          <w:p w14:paraId="6958C09B" w14:textId="77777777" w:rsidR="00837380" w:rsidRPr="00837380" w:rsidRDefault="00981304" w:rsidP="00FE0C37">
            <w:pPr>
              <w:pStyle w:val="ListParagraph"/>
              <w:numPr>
                <w:ilvl w:val="0"/>
                <w:numId w:val="14"/>
              </w:numPr>
              <w:rPr>
                <w:b/>
                <w:bCs/>
                <w:sz w:val="28"/>
                <w:szCs w:val="22"/>
                <w:u w:val="none"/>
              </w:rPr>
            </w:pPr>
            <w:r w:rsidRPr="00837380">
              <w:rPr>
                <w:b/>
                <w:bCs/>
                <w:sz w:val="28"/>
                <w:szCs w:val="22"/>
                <w:u w:val="none"/>
              </w:rPr>
              <w:t>Calculating Income</w:t>
            </w:r>
          </w:p>
          <w:p w14:paraId="0CE1E589" w14:textId="77777777" w:rsidR="00981304" w:rsidRPr="00837380" w:rsidRDefault="00981304" w:rsidP="00FE0C37">
            <w:pPr>
              <w:pStyle w:val="ListParagraph"/>
              <w:numPr>
                <w:ilvl w:val="0"/>
                <w:numId w:val="17"/>
              </w:numPr>
              <w:ind w:left="990"/>
              <w:rPr>
                <w:u w:val="none"/>
              </w:rPr>
            </w:pPr>
            <w:r w:rsidRPr="00837380">
              <w:rPr>
                <w:u w:val="none"/>
              </w:rPr>
              <w:t>De Minimis Error in Income Determinations</w:t>
            </w:r>
          </w:p>
        </w:tc>
      </w:tr>
      <w:tr w:rsidR="00981304" w:rsidRPr="00837380" w14:paraId="482304AF" w14:textId="77777777" w:rsidTr="00412950">
        <w:trPr>
          <w:trHeight w:val="2362"/>
          <w:jc w:val="center"/>
        </w:trPr>
        <w:tc>
          <w:tcPr>
            <w:tcW w:w="8285" w:type="dxa"/>
          </w:tcPr>
          <w:p w14:paraId="22EE2359" w14:textId="77777777" w:rsidR="00981304" w:rsidRPr="00837380" w:rsidRDefault="00981304" w:rsidP="00FE0C37">
            <w:pPr>
              <w:pStyle w:val="ListParagraph"/>
              <w:numPr>
                <w:ilvl w:val="0"/>
                <w:numId w:val="14"/>
              </w:numPr>
              <w:rPr>
                <w:b/>
                <w:bCs/>
                <w:sz w:val="28"/>
                <w:szCs w:val="22"/>
                <w:u w:val="none"/>
              </w:rPr>
            </w:pPr>
            <w:r w:rsidRPr="00837380">
              <w:rPr>
                <w:b/>
                <w:bCs/>
                <w:sz w:val="28"/>
                <w:szCs w:val="22"/>
                <w:u w:val="none"/>
              </w:rPr>
              <w:t>Deductions and Expenses</w:t>
            </w:r>
          </w:p>
          <w:p w14:paraId="24CEBF63" w14:textId="77777777" w:rsidR="00FE0C37" w:rsidRDefault="00981304" w:rsidP="00FE0C37">
            <w:pPr>
              <w:pStyle w:val="ListParagraph"/>
              <w:numPr>
                <w:ilvl w:val="0"/>
                <w:numId w:val="18"/>
              </w:numPr>
              <w:ind w:left="990"/>
              <w:rPr>
                <w:u w:val="none"/>
              </w:rPr>
            </w:pPr>
            <w:r w:rsidRPr="00FE0C37">
              <w:rPr>
                <w:u w:val="none"/>
              </w:rPr>
              <w:t>Hardship Exemptions for Health/ Medical Care Expenses &amp; Reasonable Attendant Care &amp; Auxiliary Apparatus Expenses</w:t>
            </w:r>
          </w:p>
          <w:p w14:paraId="2A90F954" w14:textId="77777777" w:rsidR="00FE0C37" w:rsidRDefault="00981304" w:rsidP="00FE0C37">
            <w:pPr>
              <w:pStyle w:val="ListParagraph"/>
              <w:numPr>
                <w:ilvl w:val="0"/>
                <w:numId w:val="18"/>
              </w:numPr>
              <w:ind w:left="990"/>
              <w:rPr>
                <w:u w:val="none"/>
              </w:rPr>
            </w:pPr>
            <w:r w:rsidRPr="00FE0C37">
              <w:rPr>
                <w:u w:val="none"/>
              </w:rPr>
              <w:t>Hardship Exemptions for Health/ Medical Care Expenses &amp; Reasonable Attendant Care &amp; Auxiliary Apparatus Expenses – Phased-In Relief</w:t>
            </w:r>
          </w:p>
          <w:p w14:paraId="16B9E67B" w14:textId="77777777" w:rsidR="00FE0C37" w:rsidRDefault="00981304" w:rsidP="00FE0C37">
            <w:pPr>
              <w:pStyle w:val="ListParagraph"/>
              <w:numPr>
                <w:ilvl w:val="0"/>
                <w:numId w:val="18"/>
              </w:numPr>
              <w:ind w:left="990"/>
              <w:rPr>
                <w:u w:val="none"/>
              </w:rPr>
            </w:pPr>
            <w:r w:rsidRPr="00FE0C37">
              <w:rPr>
                <w:u w:val="none"/>
              </w:rPr>
              <w:t>General Relief</w:t>
            </w:r>
          </w:p>
          <w:p w14:paraId="74CBC3CA" w14:textId="77777777" w:rsidR="00981304" w:rsidRPr="00837380" w:rsidRDefault="00981304" w:rsidP="00FE0C37">
            <w:pPr>
              <w:pStyle w:val="ListParagraph"/>
              <w:numPr>
                <w:ilvl w:val="0"/>
                <w:numId w:val="18"/>
              </w:numPr>
              <w:ind w:left="990"/>
              <w:rPr>
                <w:u w:val="none"/>
              </w:rPr>
            </w:pPr>
            <w:r w:rsidRPr="00837380">
              <w:rPr>
                <w:u w:val="none"/>
              </w:rPr>
              <w:t>Hardship Exemption to Continue Childcare Expense Hardship</w:t>
            </w:r>
          </w:p>
        </w:tc>
      </w:tr>
      <w:tr w:rsidR="00981304" w:rsidRPr="00837380" w14:paraId="28BC09DA" w14:textId="77777777" w:rsidTr="00412950">
        <w:trPr>
          <w:trHeight w:val="1163"/>
          <w:jc w:val="center"/>
        </w:trPr>
        <w:tc>
          <w:tcPr>
            <w:tcW w:w="8285" w:type="dxa"/>
          </w:tcPr>
          <w:p w14:paraId="0277816C" w14:textId="77777777" w:rsidR="00981304" w:rsidRPr="00837380" w:rsidRDefault="00981304" w:rsidP="00FE0C37">
            <w:pPr>
              <w:pStyle w:val="ListParagraph"/>
              <w:numPr>
                <w:ilvl w:val="0"/>
                <w:numId w:val="14"/>
              </w:numPr>
              <w:rPr>
                <w:b/>
                <w:bCs/>
                <w:sz w:val="28"/>
                <w:szCs w:val="22"/>
                <w:u w:val="none"/>
              </w:rPr>
            </w:pPr>
            <w:r w:rsidRPr="00837380">
              <w:rPr>
                <w:b/>
                <w:bCs/>
                <w:sz w:val="28"/>
                <w:szCs w:val="22"/>
                <w:u w:val="none"/>
              </w:rPr>
              <w:t>Income</w:t>
            </w:r>
          </w:p>
          <w:p w14:paraId="3DACC987" w14:textId="77777777" w:rsidR="00981304" w:rsidRPr="00837380" w:rsidRDefault="00981304" w:rsidP="00FE0C37">
            <w:pPr>
              <w:pStyle w:val="ListParagraph"/>
              <w:numPr>
                <w:ilvl w:val="0"/>
                <w:numId w:val="19"/>
              </w:numPr>
              <w:ind w:left="990"/>
              <w:rPr>
                <w:u w:val="none"/>
              </w:rPr>
            </w:pPr>
            <w:r w:rsidRPr="00837380">
              <w:rPr>
                <w:u w:val="none"/>
              </w:rPr>
              <w:t xml:space="preserve">Self-Certification of Net Family Assets Equal to or </w:t>
            </w:r>
            <w:proofErr w:type="gramStart"/>
            <w:r w:rsidRPr="00837380">
              <w:rPr>
                <w:u w:val="none"/>
              </w:rPr>
              <w:t>Less</w:t>
            </w:r>
            <w:proofErr w:type="gramEnd"/>
            <w:r w:rsidRPr="00837380">
              <w:rPr>
                <w:u w:val="none"/>
              </w:rPr>
              <w:t xml:space="preserve"> than $50,000</w:t>
            </w:r>
          </w:p>
        </w:tc>
      </w:tr>
      <w:tr w:rsidR="00981304" w:rsidRPr="00837380" w14:paraId="1D843B89" w14:textId="77777777" w:rsidTr="00412950">
        <w:trPr>
          <w:trHeight w:val="1533"/>
          <w:jc w:val="center"/>
        </w:trPr>
        <w:tc>
          <w:tcPr>
            <w:tcW w:w="8285" w:type="dxa"/>
            <w:tcBorders>
              <w:bottom w:val="single" w:sz="4" w:space="0" w:color="auto"/>
            </w:tcBorders>
          </w:tcPr>
          <w:p w14:paraId="50D2B774" w14:textId="77777777" w:rsidR="00981304" w:rsidRPr="00837380" w:rsidRDefault="00981304" w:rsidP="00FE0C37">
            <w:pPr>
              <w:pStyle w:val="ListParagraph"/>
              <w:numPr>
                <w:ilvl w:val="0"/>
                <w:numId w:val="14"/>
              </w:numPr>
              <w:rPr>
                <w:b/>
                <w:bCs/>
                <w:sz w:val="28"/>
                <w:szCs w:val="22"/>
                <w:u w:val="none"/>
              </w:rPr>
            </w:pPr>
            <w:r w:rsidRPr="00837380">
              <w:rPr>
                <w:b/>
                <w:bCs/>
                <w:sz w:val="28"/>
                <w:szCs w:val="22"/>
                <w:u w:val="none"/>
              </w:rPr>
              <w:t>Interim Reexaminations</w:t>
            </w:r>
          </w:p>
          <w:p w14:paraId="3ED4AD04" w14:textId="77777777" w:rsidR="00981304" w:rsidRPr="00837380" w:rsidRDefault="00981304" w:rsidP="00FE0C37">
            <w:pPr>
              <w:pStyle w:val="ListParagraph"/>
              <w:numPr>
                <w:ilvl w:val="0"/>
                <w:numId w:val="20"/>
              </w:numPr>
              <w:ind w:left="990"/>
              <w:rPr>
                <w:u w:val="none"/>
              </w:rPr>
            </w:pPr>
            <w:r w:rsidRPr="00837380">
              <w:rPr>
                <w:u w:val="none"/>
              </w:rPr>
              <w:t>Interim Reexaminations – Decreases in Adjusted Income</w:t>
            </w:r>
          </w:p>
          <w:p w14:paraId="7FFE3E0D" w14:textId="77777777" w:rsidR="00981304" w:rsidRPr="00837380" w:rsidRDefault="00981304" w:rsidP="00FE0C37">
            <w:pPr>
              <w:pStyle w:val="ListParagraph"/>
              <w:numPr>
                <w:ilvl w:val="0"/>
                <w:numId w:val="20"/>
              </w:numPr>
              <w:ind w:left="990"/>
              <w:rPr>
                <w:u w:val="none"/>
              </w:rPr>
            </w:pPr>
            <w:r w:rsidRPr="00837380">
              <w:rPr>
                <w:u w:val="none"/>
              </w:rPr>
              <w:t>Interim Reexaminations – Increases in Adjusted Income</w:t>
            </w:r>
          </w:p>
          <w:p w14:paraId="579F837D" w14:textId="77777777" w:rsidR="00981304" w:rsidRPr="00837380" w:rsidRDefault="00981304" w:rsidP="00FE0C37">
            <w:pPr>
              <w:pStyle w:val="ListParagraph"/>
              <w:numPr>
                <w:ilvl w:val="0"/>
                <w:numId w:val="20"/>
              </w:numPr>
              <w:ind w:left="990"/>
              <w:rPr>
                <w:u w:val="none"/>
              </w:rPr>
            </w:pPr>
            <w:r w:rsidRPr="00837380">
              <w:rPr>
                <w:u w:val="none"/>
              </w:rPr>
              <w:t>Interim Reexaminations – Reporting Changes &amp; Effective Date</w:t>
            </w:r>
          </w:p>
        </w:tc>
      </w:tr>
      <w:tr w:rsidR="00981304" w:rsidRPr="00837380" w14:paraId="347BA70F" w14:textId="77777777" w:rsidTr="00412950">
        <w:trPr>
          <w:trHeight w:val="1766"/>
          <w:jc w:val="center"/>
        </w:trPr>
        <w:tc>
          <w:tcPr>
            <w:tcW w:w="8285" w:type="dxa"/>
            <w:tcBorders>
              <w:bottom w:val="single" w:sz="4" w:space="0" w:color="auto"/>
            </w:tcBorders>
          </w:tcPr>
          <w:p w14:paraId="74ECCA89" w14:textId="77777777" w:rsidR="00981304" w:rsidRPr="00837380" w:rsidRDefault="00981304" w:rsidP="00FE0C37">
            <w:pPr>
              <w:pStyle w:val="ListParagraph"/>
              <w:numPr>
                <w:ilvl w:val="0"/>
                <w:numId w:val="14"/>
              </w:numPr>
              <w:rPr>
                <w:b/>
                <w:bCs/>
                <w:sz w:val="28"/>
                <w:szCs w:val="22"/>
                <w:u w:val="none"/>
              </w:rPr>
            </w:pPr>
            <w:r w:rsidRPr="00837380">
              <w:rPr>
                <w:b/>
                <w:bCs/>
                <w:sz w:val="28"/>
                <w:szCs w:val="22"/>
                <w:u w:val="none"/>
              </w:rPr>
              <w:t>Verification</w:t>
            </w:r>
          </w:p>
          <w:p w14:paraId="3B22ECD2" w14:textId="77777777" w:rsidR="00981304" w:rsidRPr="00837380" w:rsidRDefault="00981304" w:rsidP="00FE0C37">
            <w:pPr>
              <w:pStyle w:val="ListParagraph"/>
              <w:numPr>
                <w:ilvl w:val="0"/>
                <w:numId w:val="21"/>
              </w:numPr>
              <w:rPr>
                <w:u w:val="none"/>
              </w:rPr>
            </w:pPr>
            <w:r w:rsidRPr="00837380">
              <w:rPr>
                <w:u w:val="none"/>
              </w:rPr>
              <w:t>Revocation of Consent Form (Form HUD-9887)</w:t>
            </w:r>
          </w:p>
          <w:p w14:paraId="45E4024A" w14:textId="77777777" w:rsidR="00981304" w:rsidRPr="00837380" w:rsidRDefault="00981304" w:rsidP="00FE0C37">
            <w:pPr>
              <w:pStyle w:val="ListParagraph"/>
              <w:numPr>
                <w:ilvl w:val="0"/>
                <w:numId w:val="21"/>
              </w:numPr>
              <w:rPr>
                <w:u w:val="none"/>
              </w:rPr>
            </w:pPr>
            <w:r w:rsidRPr="00837380">
              <w:rPr>
                <w:u w:val="none"/>
              </w:rPr>
              <w:t>Determination of Family Income Using Other Means Tested Public Assistance, (i.e., “Safe Harbor”)</w:t>
            </w:r>
          </w:p>
          <w:p w14:paraId="5738AE18" w14:textId="77777777" w:rsidR="00981304" w:rsidRPr="00837380" w:rsidRDefault="00981304" w:rsidP="00FE0C37">
            <w:pPr>
              <w:pStyle w:val="ListParagraph"/>
              <w:numPr>
                <w:ilvl w:val="0"/>
                <w:numId w:val="21"/>
              </w:numPr>
              <w:rPr>
                <w:u w:val="none"/>
              </w:rPr>
            </w:pPr>
            <w:r w:rsidRPr="00837380">
              <w:rPr>
                <w:u w:val="none"/>
              </w:rPr>
              <w:t>Enterprise Income Verification (EIV) Usage</w:t>
            </w:r>
          </w:p>
        </w:tc>
      </w:tr>
    </w:tbl>
    <w:p w14:paraId="06C4CA36" w14:textId="77777777" w:rsidR="006B481E" w:rsidRDefault="006B481E" w:rsidP="008E397B">
      <w:pPr>
        <w:pStyle w:val="ListParagraph"/>
        <w:ind w:left="90" w:right="180"/>
        <w:jc w:val="center"/>
        <w:rPr>
          <w:u w:val="none"/>
        </w:rPr>
      </w:pPr>
    </w:p>
    <w:p w14:paraId="468E3256" w14:textId="77777777" w:rsidR="00FE0C37" w:rsidRDefault="00FE0C37" w:rsidP="008E397B">
      <w:pPr>
        <w:pStyle w:val="ListParagraph"/>
        <w:ind w:left="90" w:right="180"/>
        <w:jc w:val="center"/>
        <w:rPr>
          <w:u w:val="none"/>
        </w:rPr>
      </w:pPr>
    </w:p>
    <w:p w14:paraId="582DFA56" w14:textId="77777777" w:rsidR="00FE0C37" w:rsidRDefault="00FE0C37" w:rsidP="008E397B">
      <w:pPr>
        <w:pStyle w:val="ListParagraph"/>
        <w:ind w:left="90" w:right="180"/>
        <w:jc w:val="center"/>
        <w:rPr>
          <w:u w:val="none"/>
        </w:rPr>
      </w:pPr>
    </w:p>
    <w:p w14:paraId="76E9A110" w14:textId="77777777" w:rsidR="00FE0C37" w:rsidRDefault="00FE0C37" w:rsidP="008E397B">
      <w:pPr>
        <w:pStyle w:val="ListParagraph"/>
        <w:ind w:left="90" w:right="180"/>
        <w:jc w:val="center"/>
        <w:rPr>
          <w:u w:val="none"/>
        </w:rPr>
      </w:pPr>
    </w:p>
    <w:p w14:paraId="7BD4CB42" w14:textId="77777777" w:rsidR="00FE0C37" w:rsidRDefault="00FE0C37" w:rsidP="008E397B">
      <w:pPr>
        <w:pStyle w:val="ListParagraph"/>
        <w:ind w:left="90" w:right="180"/>
        <w:jc w:val="center"/>
        <w:rPr>
          <w:u w:val="none"/>
        </w:rPr>
      </w:pPr>
    </w:p>
    <w:p w14:paraId="2D86AB46" w14:textId="77777777" w:rsidR="001848CE" w:rsidRPr="000E1DE0" w:rsidRDefault="001848CE" w:rsidP="00FE0C37">
      <w:pPr>
        <w:pStyle w:val="ListParagraph"/>
        <w:numPr>
          <w:ilvl w:val="0"/>
          <w:numId w:val="13"/>
        </w:numPr>
        <w:tabs>
          <w:tab w:val="left" w:pos="450"/>
        </w:tabs>
        <w:ind w:right="180" w:hanging="720"/>
        <w:jc w:val="both"/>
        <w:rPr>
          <w:b/>
          <w:bCs/>
          <w:sz w:val="28"/>
          <w:szCs w:val="28"/>
          <w:u w:val="none"/>
        </w:rPr>
      </w:pPr>
      <w:r w:rsidRPr="000E1DE0">
        <w:rPr>
          <w:b/>
          <w:bCs/>
          <w:sz w:val="28"/>
          <w:szCs w:val="28"/>
          <w:u w:val="none"/>
        </w:rPr>
        <w:lastRenderedPageBreak/>
        <w:t>Asset Limitation</w:t>
      </w:r>
      <w:r w:rsidR="009D13CE" w:rsidRPr="000E1DE0">
        <w:rPr>
          <w:b/>
          <w:bCs/>
          <w:sz w:val="28"/>
          <w:szCs w:val="28"/>
          <w:u w:val="none"/>
        </w:rPr>
        <w:t xml:space="preserve"> </w:t>
      </w:r>
    </w:p>
    <w:p w14:paraId="22655F7E" w14:textId="77777777" w:rsidR="000F5202" w:rsidRPr="000E1DE0" w:rsidRDefault="000F5202" w:rsidP="00F21222">
      <w:pPr>
        <w:ind w:right="180"/>
        <w:jc w:val="both"/>
        <w:rPr>
          <w:u w:val="none"/>
        </w:rPr>
      </w:pPr>
    </w:p>
    <w:p w14:paraId="260D2E0E" w14:textId="77777777" w:rsidR="004D1CD4" w:rsidRPr="000E1DE0" w:rsidRDefault="004D1CD4" w:rsidP="00C60340">
      <w:pPr>
        <w:ind w:right="180"/>
        <w:jc w:val="both"/>
        <w:rPr>
          <w:u w:val="none"/>
        </w:rPr>
      </w:pPr>
      <w:r w:rsidRPr="000E1DE0">
        <w:rPr>
          <w:u w:val="none"/>
        </w:rPr>
        <w:t>Regulations</w:t>
      </w:r>
      <w:r w:rsidR="009D13CE" w:rsidRPr="000E1DE0">
        <w:rPr>
          <w:u w:val="none"/>
        </w:rPr>
        <w:t xml:space="preserve">: </w:t>
      </w:r>
      <w:r w:rsidRPr="000E1DE0">
        <w:rPr>
          <w:u w:val="none"/>
        </w:rPr>
        <w:t>24 CFR §</w:t>
      </w:r>
      <w:r w:rsidR="00000B5C" w:rsidRPr="000E1DE0">
        <w:rPr>
          <w:u w:val="none"/>
        </w:rPr>
        <w:t xml:space="preserve"> </w:t>
      </w:r>
      <w:r w:rsidRPr="000E1DE0">
        <w:rPr>
          <w:u w:val="none"/>
        </w:rPr>
        <w:t>5.618</w:t>
      </w:r>
    </w:p>
    <w:p w14:paraId="62AC9B49" w14:textId="77777777" w:rsidR="004D1CD4" w:rsidRPr="000E1DE0" w:rsidRDefault="004D1CD4" w:rsidP="00C60340">
      <w:pPr>
        <w:ind w:right="180"/>
        <w:jc w:val="both"/>
        <w:rPr>
          <w:u w:val="none"/>
        </w:rPr>
      </w:pPr>
    </w:p>
    <w:p w14:paraId="12CE354F" w14:textId="77777777" w:rsidR="004D1CD4" w:rsidRPr="000E1DE0" w:rsidRDefault="009D13CE" w:rsidP="00C60340">
      <w:pPr>
        <w:ind w:right="180"/>
        <w:jc w:val="both"/>
        <w:rPr>
          <w:u w:val="none"/>
        </w:rPr>
      </w:pPr>
      <w:bookmarkStart w:id="6" w:name="_Hlk152160776"/>
      <w:bookmarkStart w:id="7" w:name="_Hlk152162394"/>
      <w:r w:rsidRPr="000E1DE0">
        <w:rPr>
          <w:u w:val="none"/>
        </w:rPr>
        <w:t>Applicable programs:</w:t>
      </w:r>
      <w:r w:rsidR="00961D51" w:rsidRPr="000E1DE0">
        <w:rPr>
          <w:u w:val="none"/>
        </w:rPr>
        <w:t xml:space="preserve"> </w:t>
      </w:r>
      <w:bookmarkEnd w:id="6"/>
      <w:r w:rsidR="00961D51" w:rsidRPr="000E1DE0">
        <w:rPr>
          <w:u w:val="none"/>
        </w:rPr>
        <w:t>Section 8 (Project Based Rental Assistance)</w:t>
      </w:r>
      <w:bookmarkEnd w:id="7"/>
      <w:r w:rsidR="00961D51" w:rsidRPr="000E1DE0">
        <w:rPr>
          <w:u w:val="none"/>
        </w:rPr>
        <w:t xml:space="preserve"> and Section 202/8</w:t>
      </w:r>
      <w:r w:rsidR="0008175E" w:rsidRPr="000E1DE0">
        <w:rPr>
          <w:u w:val="none"/>
        </w:rPr>
        <w:t xml:space="preserve"> only.</w:t>
      </w:r>
    </w:p>
    <w:p w14:paraId="0BDFDFDC" w14:textId="77777777" w:rsidR="004D1CD4" w:rsidRPr="000E1DE0" w:rsidRDefault="004D1CD4" w:rsidP="00C60340">
      <w:pPr>
        <w:ind w:right="180"/>
        <w:jc w:val="both"/>
        <w:rPr>
          <w:u w:val="none"/>
        </w:rPr>
      </w:pPr>
    </w:p>
    <w:p w14:paraId="269BAB54" w14:textId="77777777" w:rsidR="00FE7AC0" w:rsidRPr="000E1DE0" w:rsidRDefault="00FE7AC0" w:rsidP="00C60340">
      <w:pPr>
        <w:ind w:right="180"/>
        <w:jc w:val="both"/>
        <w:rPr>
          <w:u w:val="none"/>
        </w:rPr>
      </w:pPr>
      <w:r w:rsidRPr="000E1DE0">
        <w:rPr>
          <w:u w:val="none"/>
        </w:rPr>
        <w:t xml:space="preserve">Per requirements in Section 104 of HOTMA, 24 CFR 5.618 creates a restriction on the eligibility of a family to receive assistance if the family owns real property that is suitable for occupancy by the family as a residence or has assets </w:t>
      </w:r>
      <w:proofErr w:type="gramStart"/>
      <w:r w:rsidRPr="000E1DE0">
        <w:rPr>
          <w:u w:val="none"/>
        </w:rPr>
        <w:t>in excess of</w:t>
      </w:r>
      <w:proofErr w:type="gramEnd"/>
      <w:r w:rsidRPr="000E1DE0">
        <w:rPr>
          <w:u w:val="none"/>
        </w:rPr>
        <w:t xml:space="preserve"> $100,000, as adjusted annually in accordance with the Consumer Price Index for Urban Wage Earners and Clerical Workers.</w:t>
      </w:r>
    </w:p>
    <w:p w14:paraId="3D087608" w14:textId="77777777" w:rsidR="00FE7AC0" w:rsidRPr="000E1DE0" w:rsidRDefault="00FE7AC0" w:rsidP="008E397B">
      <w:pPr>
        <w:ind w:right="180"/>
        <w:jc w:val="both"/>
        <w:rPr>
          <w:u w:val="none"/>
        </w:rPr>
      </w:pPr>
    </w:p>
    <w:p w14:paraId="08A4D372" w14:textId="77777777" w:rsidR="00DB6EDD" w:rsidRPr="000E1DE0" w:rsidRDefault="00BA4193" w:rsidP="00FE0C37">
      <w:pPr>
        <w:pStyle w:val="ListParagraph"/>
        <w:numPr>
          <w:ilvl w:val="0"/>
          <w:numId w:val="5"/>
        </w:numPr>
        <w:ind w:left="720" w:right="180" w:hanging="450"/>
        <w:jc w:val="both"/>
        <w:rPr>
          <w:b/>
          <w:bCs/>
        </w:rPr>
      </w:pPr>
      <w:r w:rsidRPr="000E1DE0">
        <w:rPr>
          <w:b/>
          <w:bCs/>
        </w:rPr>
        <w:t>New Admissions</w:t>
      </w:r>
    </w:p>
    <w:p w14:paraId="36507B48" w14:textId="77777777" w:rsidR="009E0DEF" w:rsidRPr="000E1DE0" w:rsidRDefault="009E0DEF" w:rsidP="008E397B">
      <w:pPr>
        <w:ind w:right="180"/>
        <w:jc w:val="both"/>
        <w:rPr>
          <w:u w:val="none"/>
        </w:rPr>
      </w:pPr>
    </w:p>
    <w:p w14:paraId="48963BD8" w14:textId="77777777" w:rsidR="009E0DEF" w:rsidRPr="000E1DE0" w:rsidRDefault="009E0DEF" w:rsidP="008E397B">
      <w:pPr>
        <w:ind w:left="720" w:right="180"/>
        <w:jc w:val="both"/>
        <w:rPr>
          <w:b/>
          <w:bCs/>
          <w:u w:val="none"/>
        </w:rPr>
      </w:pPr>
      <w:r w:rsidRPr="000E1DE0">
        <w:rPr>
          <w:b/>
          <w:bCs/>
          <w:u w:val="none"/>
        </w:rPr>
        <w:t xml:space="preserve">Required HOTMA </w:t>
      </w:r>
      <w:r w:rsidR="00B82979" w:rsidRPr="000E1DE0">
        <w:rPr>
          <w:b/>
          <w:bCs/>
          <w:u w:val="none"/>
        </w:rPr>
        <w:t>Rule</w:t>
      </w:r>
    </w:p>
    <w:p w14:paraId="46829A45" w14:textId="77777777" w:rsidR="009E0DEF" w:rsidRPr="000E1DE0" w:rsidRDefault="009E0DEF" w:rsidP="008E397B">
      <w:pPr>
        <w:ind w:left="720" w:right="180"/>
        <w:jc w:val="both"/>
        <w:rPr>
          <w:u w:val="none"/>
        </w:rPr>
      </w:pPr>
    </w:p>
    <w:p w14:paraId="1B6529E0" w14:textId="77777777" w:rsidR="009E0DEF" w:rsidRPr="000E1DE0" w:rsidRDefault="009E0DEF" w:rsidP="008E397B">
      <w:pPr>
        <w:ind w:left="720" w:right="180"/>
        <w:jc w:val="both"/>
        <w:rPr>
          <w:u w:val="none"/>
        </w:rPr>
      </w:pPr>
      <w:r w:rsidRPr="000E1DE0">
        <w:rPr>
          <w:u w:val="none"/>
        </w:rPr>
        <w:t xml:space="preserve">Agent </w:t>
      </w:r>
      <w:r w:rsidR="00F67907" w:rsidRPr="000E1DE0">
        <w:rPr>
          <w:u w:val="none"/>
        </w:rPr>
        <w:t xml:space="preserve">must </w:t>
      </w:r>
      <w:r w:rsidRPr="000E1DE0">
        <w:rPr>
          <w:u w:val="none"/>
        </w:rPr>
        <w:t>deny admission of an applicant family for the following:</w:t>
      </w:r>
    </w:p>
    <w:p w14:paraId="130443EE" w14:textId="77777777" w:rsidR="009E0DEF" w:rsidRPr="000E1DE0" w:rsidRDefault="009E0DEF" w:rsidP="008E397B">
      <w:pPr>
        <w:ind w:left="720" w:right="180"/>
        <w:jc w:val="both"/>
        <w:rPr>
          <w:u w:val="none"/>
        </w:rPr>
      </w:pPr>
    </w:p>
    <w:p w14:paraId="25AEB4DD" w14:textId="77777777" w:rsidR="009E0DEF" w:rsidRPr="000E1DE0" w:rsidRDefault="009E0DEF" w:rsidP="00FE0C37">
      <w:pPr>
        <w:pStyle w:val="ListParagraph"/>
        <w:numPr>
          <w:ilvl w:val="0"/>
          <w:numId w:val="8"/>
        </w:numPr>
        <w:ind w:left="1800" w:right="180"/>
        <w:jc w:val="both"/>
        <w:rPr>
          <w:u w:val="none"/>
        </w:rPr>
      </w:pPr>
      <w:r w:rsidRPr="000E1DE0">
        <w:rPr>
          <w:u w:val="none"/>
        </w:rPr>
        <w:t>Net family assets that exceed $100,000 (adjusted annually for inflation); and/or</w:t>
      </w:r>
    </w:p>
    <w:p w14:paraId="3A5D4CFD" w14:textId="77777777" w:rsidR="009E0DEF" w:rsidRPr="000E1DE0" w:rsidRDefault="009E0DEF" w:rsidP="00FE0C37">
      <w:pPr>
        <w:pStyle w:val="ListParagraph"/>
        <w:numPr>
          <w:ilvl w:val="0"/>
          <w:numId w:val="8"/>
        </w:numPr>
        <w:ind w:left="1800" w:right="180"/>
        <w:jc w:val="both"/>
        <w:rPr>
          <w:u w:val="none"/>
        </w:rPr>
      </w:pPr>
      <w:r w:rsidRPr="000E1DE0">
        <w:rPr>
          <w:u w:val="none"/>
        </w:rPr>
        <w:t>The family has a present ownership interest in, a legal right to reside in, and the effective legal authority to sell the real property (based on laws of the state or locality in which the property is located) that is suitable for occupancy by the family as a residence.</w:t>
      </w:r>
    </w:p>
    <w:p w14:paraId="285F636C" w14:textId="77777777" w:rsidR="00EF0BF5" w:rsidRPr="000E1DE0" w:rsidRDefault="00EF0BF5" w:rsidP="008E397B">
      <w:pPr>
        <w:ind w:left="720" w:right="180"/>
        <w:jc w:val="both"/>
        <w:rPr>
          <w:b/>
          <w:bCs/>
          <w:u w:val="none"/>
        </w:rPr>
      </w:pPr>
    </w:p>
    <w:p w14:paraId="6E75F415" w14:textId="77777777" w:rsidR="005A481D" w:rsidRPr="000E1DE0" w:rsidRDefault="005A481D" w:rsidP="008E397B">
      <w:pPr>
        <w:ind w:left="720" w:right="180"/>
        <w:jc w:val="both"/>
        <w:rPr>
          <w:u w:val="none"/>
        </w:rPr>
      </w:pPr>
      <w:r w:rsidRPr="000E1DE0">
        <w:rPr>
          <w:u w:val="none"/>
        </w:rPr>
        <w:t>In addition, the Agent must enforce the asset limitation at initial certification for families who lost their assistance because they failed to recertify timely or began to pay market rent, remained in the unit, and then lost income, once again requiring assistance.</w:t>
      </w:r>
    </w:p>
    <w:p w14:paraId="3E21BF44" w14:textId="77777777" w:rsidR="005A481D" w:rsidRPr="000E1DE0" w:rsidRDefault="005A481D" w:rsidP="008E397B">
      <w:pPr>
        <w:ind w:left="720" w:right="180"/>
        <w:jc w:val="both"/>
        <w:rPr>
          <w:b/>
          <w:bCs/>
          <w:u w:val="none"/>
        </w:rPr>
      </w:pPr>
    </w:p>
    <w:p w14:paraId="2FB37470" w14:textId="77777777" w:rsidR="009E0DEF" w:rsidRPr="000E1DE0" w:rsidRDefault="009E0DEF" w:rsidP="008E397B">
      <w:pPr>
        <w:ind w:left="720" w:right="180"/>
        <w:jc w:val="both"/>
        <w:rPr>
          <w:b/>
          <w:bCs/>
          <w:u w:val="none"/>
        </w:rPr>
      </w:pPr>
      <w:r w:rsidRPr="000E1DE0">
        <w:rPr>
          <w:b/>
          <w:bCs/>
          <w:u w:val="none"/>
        </w:rPr>
        <w:t>Agent’s Discretionary Policy</w:t>
      </w:r>
    </w:p>
    <w:p w14:paraId="1286B346" w14:textId="77777777" w:rsidR="009E0DEF" w:rsidRPr="000E1DE0" w:rsidRDefault="009E0DEF" w:rsidP="008E397B">
      <w:pPr>
        <w:ind w:left="720" w:right="180"/>
        <w:jc w:val="both"/>
        <w:rPr>
          <w:u w:val="none"/>
        </w:rPr>
      </w:pPr>
    </w:p>
    <w:p w14:paraId="54983BF3" w14:textId="77777777" w:rsidR="009E0DEF" w:rsidRPr="000E1DE0" w:rsidRDefault="005A481D" w:rsidP="008E397B">
      <w:pPr>
        <w:ind w:left="720" w:right="180"/>
        <w:jc w:val="both"/>
        <w:rPr>
          <w:strike/>
          <w:u w:val="none"/>
        </w:rPr>
      </w:pPr>
      <w:r w:rsidRPr="000E1DE0">
        <w:rPr>
          <w:u w:val="none"/>
        </w:rPr>
        <w:t>No discretion</w:t>
      </w:r>
      <w:r w:rsidR="009E0DEF" w:rsidRPr="000E1DE0">
        <w:rPr>
          <w:u w:val="none"/>
        </w:rPr>
        <w:t>.</w:t>
      </w:r>
    </w:p>
    <w:p w14:paraId="6F40C9F8" w14:textId="77777777" w:rsidR="009E0DEF" w:rsidRPr="000E1DE0" w:rsidRDefault="009E0DEF" w:rsidP="008E397B">
      <w:pPr>
        <w:pStyle w:val="ListParagraph"/>
        <w:tabs>
          <w:tab w:val="left" w:pos="360"/>
        </w:tabs>
        <w:ind w:left="1350" w:right="180"/>
        <w:jc w:val="both"/>
        <w:rPr>
          <w:b/>
          <w:bCs/>
          <w:strike/>
          <w:u w:val="none"/>
        </w:rPr>
      </w:pPr>
    </w:p>
    <w:p w14:paraId="23911021" w14:textId="77777777" w:rsidR="00BA4193" w:rsidRPr="000E1DE0" w:rsidRDefault="00BA4193" w:rsidP="00FE0C37">
      <w:pPr>
        <w:pStyle w:val="ListParagraph"/>
        <w:numPr>
          <w:ilvl w:val="0"/>
          <w:numId w:val="5"/>
        </w:numPr>
        <w:ind w:left="720" w:right="180" w:hanging="450"/>
        <w:jc w:val="both"/>
        <w:rPr>
          <w:b/>
          <w:bCs/>
        </w:rPr>
      </w:pPr>
      <w:r w:rsidRPr="000E1DE0">
        <w:rPr>
          <w:b/>
          <w:bCs/>
        </w:rPr>
        <w:t>Annual and Interim Reexaminations</w:t>
      </w:r>
    </w:p>
    <w:p w14:paraId="0F247E29" w14:textId="77777777" w:rsidR="001D24A3" w:rsidRPr="000E1DE0" w:rsidRDefault="001D24A3" w:rsidP="008E397B">
      <w:pPr>
        <w:pStyle w:val="ListParagraph"/>
        <w:ind w:right="180"/>
        <w:jc w:val="both"/>
        <w:rPr>
          <w:b/>
          <w:bCs/>
          <w:u w:val="none"/>
        </w:rPr>
      </w:pPr>
    </w:p>
    <w:p w14:paraId="060898E8" w14:textId="77777777" w:rsidR="00631ED6" w:rsidRPr="000E1DE0" w:rsidRDefault="00631ED6" w:rsidP="00FE0C37">
      <w:pPr>
        <w:pStyle w:val="ListParagraph"/>
        <w:numPr>
          <w:ilvl w:val="0"/>
          <w:numId w:val="9"/>
        </w:numPr>
        <w:ind w:right="180"/>
        <w:jc w:val="both"/>
        <w:rPr>
          <w:b/>
          <w:bCs/>
          <w:u w:val="none"/>
        </w:rPr>
      </w:pPr>
      <w:r w:rsidRPr="000E1DE0">
        <w:rPr>
          <w:b/>
          <w:bCs/>
          <w:u w:val="none"/>
        </w:rPr>
        <w:t>Enforcement Options</w:t>
      </w:r>
    </w:p>
    <w:p w14:paraId="12DE9DA1" w14:textId="77777777" w:rsidR="00631ED6" w:rsidRPr="000E1DE0" w:rsidRDefault="00631ED6" w:rsidP="008E397B">
      <w:pPr>
        <w:pStyle w:val="ListParagraph"/>
        <w:ind w:left="1440" w:right="180"/>
        <w:jc w:val="both"/>
        <w:rPr>
          <w:b/>
          <w:bCs/>
          <w:u w:val="none"/>
        </w:rPr>
      </w:pPr>
    </w:p>
    <w:p w14:paraId="0151D673" w14:textId="77777777" w:rsidR="001D24A3" w:rsidRPr="000E1DE0" w:rsidRDefault="001D24A3" w:rsidP="008E397B">
      <w:pPr>
        <w:pStyle w:val="ListParagraph"/>
        <w:ind w:right="180"/>
        <w:jc w:val="both"/>
        <w:rPr>
          <w:b/>
          <w:bCs/>
          <w:u w:val="none"/>
        </w:rPr>
      </w:pPr>
      <w:r w:rsidRPr="000E1DE0">
        <w:rPr>
          <w:b/>
          <w:bCs/>
          <w:u w:val="none"/>
        </w:rPr>
        <w:t xml:space="preserve">Required HOTMA </w:t>
      </w:r>
      <w:r w:rsidR="00EA10CE" w:rsidRPr="000E1DE0">
        <w:rPr>
          <w:b/>
          <w:bCs/>
          <w:u w:val="none"/>
        </w:rPr>
        <w:t>Rule</w:t>
      </w:r>
    </w:p>
    <w:p w14:paraId="3B9CACA7" w14:textId="77777777" w:rsidR="001D24A3" w:rsidRPr="000E1DE0" w:rsidRDefault="001D24A3" w:rsidP="008E397B">
      <w:pPr>
        <w:pStyle w:val="ListParagraph"/>
        <w:ind w:left="1080" w:right="180"/>
        <w:jc w:val="both"/>
        <w:rPr>
          <w:u w:val="none"/>
        </w:rPr>
      </w:pPr>
    </w:p>
    <w:p w14:paraId="04986953" w14:textId="77777777" w:rsidR="001D24A3" w:rsidRPr="000E1DE0" w:rsidRDefault="001D24A3" w:rsidP="008E397B">
      <w:pPr>
        <w:pStyle w:val="ListParagraph"/>
        <w:ind w:right="180"/>
        <w:jc w:val="both"/>
        <w:rPr>
          <w:u w:val="none"/>
        </w:rPr>
      </w:pPr>
      <w:r w:rsidRPr="000E1DE0">
        <w:rPr>
          <w:u w:val="none"/>
        </w:rPr>
        <w:t>Agent has discretion at annual and interim reexamination</w:t>
      </w:r>
      <w:bookmarkStart w:id="8" w:name="_Hlk156494213"/>
      <w:r w:rsidRPr="000E1DE0">
        <w:rPr>
          <w:u w:val="none"/>
        </w:rPr>
        <w:t xml:space="preserve"> in enforcing the asset limitation on eligibility for assistance</w:t>
      </w:r>
      <w:bookmarkEnd w:id="8"/>
      <w:r w:rsidRPr="000E1DE0">
        <w:rPr>
          <w:u w:val="none"/>
        </w:rPr>
        <w:t xml:space="preserve">. </w:t>
      </w:r>
    </w:p>
    <w:p w14:paraId="660D4E3F" w14:textId="77777777" w:rsidR="00D953F7" w:rsidRPr="000E1DE0" w:rsidRDefault="00D953F7" w:rsidP="008E397B">
      <w:pPr>
        <w:pStyle w:val="ListParagraph"/>
        <w:ind w:right="180"/>
        <w:jc w:val="both"/>
        <w:rPr>
          <w:u w:val="none"/>
        </w:rPr>
      </w:pPr>
    </w:p>
    <w:p w14:paraId="277FB076" w14:textId="77777777" w:rsidR="001D24A3" w:rsidRPr="000E1DE0" w:rsidRDefault="001D24A3" w:rsidP="008E397B">
      <w:pPr>
        <w:ind w:left="720" w:right="180"/>
        <w:jc w:val="both"/>
        <w:rPr>
          <w:b/>
          <w:bCs/>
          <w:u w:val="none"/>
        </w:rPr>
      </w:pPr>
      <w:r w:rsidRPr="000E1DE0">
        <w:rPr>
          <w:b/>
          <w:bCs/>
          <w:u w:val="none"/>
        </w:rPr>
        <w:t xml:space="preserve">Agent’s Discretionary Policy </w:t>
      </w:r>
    </w:p>
    <w:p w14:paraId="68A17615" w14:textId="77777777" w:rsidR="001D24A3" w:rsidRPr="000E1DE0" w:rsidRDefault="001D24A3" w:rsidP="008E397B">
      <w:pPr>
        <w:ind w:left="720" w:right="180"/>
        <w:jc w:val="both"/>
        <w:rPr>
          <w:u w:val="none"/>
        </w:rPr>
      </w:pPr>
      <w:bookmarkStart w:id="9" w:name="_Hlk158300445"/>
    </w:p>
    <w:p w14:paraId="153BEDF5" w14:textId="77777777" w:rsidR="001D24A3" w:rsidRPr="000E1DE0" w:rsidRDefault="001D24A3" w:rsidP="008E397B">
      <w:pPr>
        <w:ind w:left="720" w:right="180"/>
        <w:jc w:val="both"/>
        <w:rPr>
          <w:u w:val="none"/>
        </w:rPr>
      </w:pPr>
      <w:r w:rsidRPr="000E1DE0">
        <w:rPr>
          <w:u w:val="none"/>
        </w:rPr>
        <w:lastRenderedPageBreak/>
        <w:t>Agent has selected the following enforcement option at annual and interim reexaminations</w:t>
      </w:r>
      <w:r w:rsidR="00EA10CE" w:rsidRPr="000E1DE0">
        <w:rPr>
          <w:u w:val="none"/>
        </w:rPr>
        <w:t xml:space="preserve"> </w:t>
      </w:r>
      <w:r w:rsidR="00EA10CE" w:rsidRPr="000E1DE0">
        <w:rPr>
          <w:i/>
          <w:iCs/>
          <w:u w:val="none"/>
        </w:rPr>
        <w:t>(check as applicable)</w:t>
      </w:r>
      <w:r w:rsidRPr="000E1DE0">
        <w:rPr>
          <w:u w:val="none"/>
        </w:rPr>
        <w:t>:</w:t>
      </w:r>
    </w:p>
    <w:p w14:paraId="372479D1" w14:textId="77777777" w:rsidR="00781DDA" w:rsidRPr="000E1DE0" w:rsidRDefault="00781DDA" w:rsidP="008E397B">
      <w:pPr>
        <w:ind w:left="720" w:right="180"/>
        <w:jc w:val="both"/>
        <w:rPr>
          <w:u w:val="none"/>
        </w:rPr>
      </w:pPr>
    </w:p>
    <w:bookmarkEnd w:id="9"/>
    <w:p w14:paraId="0D62080B" w14:textId="77777777" w:rsidR="001D24A3" w:rsidRPr="000E1DE0" w:rsidRDefault="00962582" w:rsidP="008E397B">
      <w:pPr>
        <w:ind w:left="1260" w:right="180" w:hanging="360"/>
        <w:jc w:val="both"/>
        <w:rPr>
          <w:i/>
          <w:iCs/>
          <w:u w:val="none"/>
        </w:rPr>
      </w:pPr>
      <w:sdt>
        <w:sdtPr>
          <w:rPr>
            <w:u w:val="none"/>
          </w:rPr>
          <w:id w:val="1395622647"/>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530C51" w:rsidRPr="000E1DE0">
        <w:rPr>
          <w:u w:val="none"/>
        </w:rPr>
        <w:tab/>
      </w:r>
      <w:r w:rsidR="001D24A3" w:rsidRPr="000E1DE0">
        <w:rPr>
          <w:b/>
          <w:bCs/>
          <w:u w:val="none"/>
        </w:rPr>
        <w:t xml:space="preserve">Total Enforcement - </w:t>
      </w:r>
      <w:r w:rsidR="001D24A3" w:rsidRPr="000E1DE0">
        <w:rPr>
          <w:u w:val="none"/>
        </w:rPr>
        <w:t xml:space="preserve">Agent has elected to fully enforce the asset limitation as written in the statute (i.e., the real property requirement and the $100,000 net family assets requirement). Agent must initiate termination of assistance proceedings within six months of the income examination that determined the family was out of compliance. </w:t>
      </w:r>
    </w:p>
    <w:p w14:paraId="04DB3B8E" w14:textId="77777777" w:rsidR="001D24A3" w:rsidRPr="000E1DE0" w:rsidRDefault="001D24A3" w:rsidP="008E397B">
      <w:pPr>
        <w:ind w:left="1260" w:right="180" w:hanging="360"/>
        <w:jc w:val="both"/>
        <w:rPr>
          <w:i/>
          <w:iCs/>
          <w:u w:val="none"/>
        </w:rPr>
      </w:pPr>
    </w:p>
    <w:p w14:paraId="69887AD8" w14:textId="77777777" w:rsidR="001D24A3" w:rsidRPr="000E1DE0" w:rsidRDefault="00962582" w:rsidP="008E397B">
      <w:pPr>
        <w:ind w:left="1260" w:right="180" w:hanging="360"/>
        <w:jc w:val="both"/>
        <w:rPr>
          <w:i/>
          <w:iCs/>
          <w:u w:val="none"/>
        </w:rPr>
      </w:pPr>
      <w:sdt>
        <w:sdtPr>
          <w:rPr>
            <w:u w:val="none"/>
          </w:rPr>
          <w:id w:val="-1485387614"/>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1D24A3" w:rsidRPr="000E1DE0">
        <w:rPr>
          <w:b/>
          <w:bCs/>
          <w:u w:val="none"/>
        </w:rPr>
        <w:t xml:space="preserve">Total Non-Enforcement - </w:t>
      </w:r>
      <w:r w:rsidR="001D24A3" w:rsidRPr="000E1DE0">
        <w:rPr>
          <w:u w:val="none"/>
        </w:rPr>
        <w:t xml:space="preserve">Agent has elected not to enforce the asset limitation for all families at annual and interim reexamination. This means that the Agent will not initiate termination of assistance proceedings for a family for non-compliance with the asset limitation. Agent is still required to calculate net family assets in the manner required by § 5.603, as part of the process of calculating annual income in accordance with § 5.609. </w:t>
      </w:r>
    </w:p>
    <w:p w14:paraId="33DD9C84" w14:textId="77777777" w:rsidR="001D24A3" w:rsidRPr="000E1DE0" w:rsidRDefault="001D24A3" w:rsidP="008E397B">
      <w:pPr>
        <w:ind w:left="1260" w:right="180" w:hanging="360"/>
        <w:jc w:val="both"/>
        <w:rPr>
          <w:i/>
          <w:iCs/>
          <w:u w:val="none"/>
        </w:rPr>
      </w:pPr>
    </w:p>
    <w:p w14:paraId="57CA4AF2" w14:textId="77777777" w:rsidR="001D24A3" w:rsidRPr="000E1DE0" w:rsidRDefault="00962582" w:rsidP="008E397B">
      <w:pPr>
        <w:ind w:left="1260" w:right="180" w:hanging="360"/>
        <w:jc w:val="both"/>
        <w:rPr>
          <w:i/>
          <w:iCs/>
          <w:u w:val="none"/>
        </w:rPr>
      </w:pPr>
      <w:sdt>
        <w:sdtPr>
          <w:rPr>
            <w:u w:val="none"/>
          </w:rPr>
          <w:id w:val="440188230"/>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1D24A3" w:rsidRPr="000E1DE0">
        <w:rPr>
          <w:b/>
          <w:bCs/>
          <w:u w:val="none"/>
        </w:rPr>
        <w:t xml:space="preserve">Limited Enforcement: Option to Cure – </w:t>
      </w:r>
      <w:r w:rsidR="001D24A3" w:rsidRPr="000E1DE0">
        <w:rPr>
          <w:u w:val="none"/>
        </w:rPr>
        <w:t xml:space="preserve">Agent has established a written policy to not enforce the asset limitation for all families, for up to six months after the effective date of a family’s annual or interim reexamination. Families are given the opportunity to cure noncompliance with the asset limitation during this period. </w:t>
      </w:r>
      <w:r w:rsidR="001D24A3" w:rsidRPr="000E1DE0">
        <w:rPr>
          <w:i/>
          <w:iCs/>
          <w:u w:val="none"/>
        </w:rPr>
        <w:t>If checked, include policy below.</w:t>
      </w:r>
    </w:p>
    <w:p w14:paraId="06A9FB56" w14:textId="77777777" w:rsidR="008664E8" w:rsidRPr="000E1DE0" w:rsidRDefault="008664E8" w:rsidP="008E397B">
      <w:pPr>
        <w:ind w:left="720" w:right="180"/>
        <w:jc w:val="both"/>
        <w:rPr>
          <w:i/>
          <w:iCs/>
          <w:u w:val="none"/>
        </w:rPr>
      </w:pPr>
    </w:p>
    <w:tbl>
      <w:tblPr>
        <w:tblStyle w:val="TableGrid"/>
        <w:tblW w:w="4521" w:type="pct"/>
        <w:tblInd w:w="720" w:type="dxa"/>
        <w:tblCellMar>
          <w:top w:w="115" w:type="dxa"/>
          <w:bottom w:w="115" w:type="dxa"/>
        </w:tblCellMar>
        <w:tblLook w:val="04A0" w:firstRow="1" w:lastRow="0" w:firstColumn="1" w:lastColumn="0" w:noHBand="0" w:noVBand="1"/>
      </w:tblPr>
      <w:tblGrid>
        <w:gridCol w:w="8454"/>
      </w:tblGrid>
      <w:tr w:rsidR="00435AA0" w:rsidRPr="000E1DE0" w14:paraId="60931F7E" w14:textId="77777777" w:rsidTr="008D1E9F">
        <w:trPr>
          <w:trHeight w:val="1286"/>
        </w:trPr>
        <w:tc>
          <w:tcPr>
            <w:tcW w:w="5000" w:type="pct"/>
          </w:tcPr>
          <w:p w14:paraId="421BC86A" w14:textId="77777777" w:rsidR="009D476C" w:rsidRPr="00947225" w:rsidRDefault="009D476C" w:rsidP="00947225">
            <w:pPr>
              <w:ind w:right="-29"/>
              <w:rPr>
                <w:i/>
                <w:iCs/>
                <w:sz w:val="20"/>
                <w:szCs w:val="20"/>
                <w:u w:val="none"/>
              </w:rPr>
            </w:pPr>
            <w:bookmarkStart w:id="10" w:name="_Hlk162868172"/>
            <w:r w:rsidRPr="00947225">
              <w:rPr>
                <w:i/>
                <w:iCs/>
                <w:sz w:val="20"/>
                <w:szCs w:val="20"/>
                <w:u w:val="none"/>
              </w:rPr>
              <w:t>[Insert limited enforcement policy specified above. Policy must include the timeframe for curing non-compliance, not to exceed six months and initiation of termination of assistance may not be delayed beyond six months after the effective date of the annual or interim reexamination.]</w:t>
            </w:r>
          </w:p>
          <w:p w14:paraId="3EE470DC" w14:textId="77777777" w:rsidR="009D476C" w:rsidRPr="00947225" w:rsidRDefault="009D476C" w:rsidP="00947225">
            <w:pPr>
              <w:ind w:right="-29"/>
              <w:jc w:val="both"/>
              <w:rPr>
                <w:i/>
                <w:iCs/>
                <w:sz w:val="20"/>
                <w:szCs w:val="20"/>
                <w:u w:val="none"/>
              </w:rPr>
            </w:pPr>
          </w:p>
          <w:p w14:paraId="5CCA8668" w14:textId="77777777" w:rsidR="00435AA0" w:rsidRPr="000E1DE0" w:rsidRDefault="00435AA0" w:rsidP="00947225">
            <w:pPr>
              <w:ind w:right="-29"/>
              <w:jc w:val="both"/>
              <w:rPr>
                <w:i/>
                <w:iCs/>
                <w:u w:val="none"/>
              </w:rPr>
            </w:pPr>
            <w:r w:rsidRPr="000E1DE0">
              <w:rPr>
                <w:i/>
                <w:iCs/>
                <w:u w:val="none"/>
              </w:rPr>
              <w:fldChar w:fldCharType="begin">
                <w:ffData>
                  <w:name w:val="box1"/>
                  <w:enabled/>
                  <w:calcOnExit/>
                  <w:textInput>
                    <w:maxLength w:val="15000"/>
                  </w:textInput>
                </w:ffData>
              </w:fldChar>
            </w:r>
            <w:bookmarkStart w:id="11" w:name="box1"/>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11"/>
          </w:p>
        </w:tc>
      </w:tr>
      <w:bookmarkEnd w:id="10"/>
    </w:tbl>
    <w:p w14:paraId="072C0B34" w14:textId="77777777" w:rsidR="00435AA0" w:rsidRPr="000E1DE0" w:rsidRDefault="00435AA0" w:rsidP="008E397B">
      <w:pPr>
        <w:ind w:left="720" w:right="180"/>
        <w:jc w:val="both"/>
        <w:rPr>
          <w:i/>
          <w:iCs/>
          <w:u w:val="none"/>
        </w:rPr>
      </w:pPr>
    </w:p>
    <w:p w14:paraId="3FB688FB" w14:textId="77777777" w:rsidR="001D24A3" w:rsidRPr="000E1DE0" w:rsidRDefault="001D24A3" w:rsidP="008E397B">
      <w:pPr>
        <w:ind w:left="720" w:right="180"/>
        <w:jc w:val="both"/>
        <w:rPr>
          <w:u w:val="none"/>
        </w:rPr>
      </w:pPr>
      <w:r w:rsidRPr="000E1DE0">
        <w:rPr>
          <w:u w:val="none"/>
        </w:rPr>
        <w:t>Regardless of the policy adopted</w:t>
      </w:r>
      <w:r w:rsidR="00643464" w:rsidRPr="000E1DE0">
        <w:rPr>
          <w:u w:val="none"/>
        </w:rPr>
        <w:t xml:space="preserve"> above</w:t>
      </w:r>
      <w:r w:rsidRPr="000E1DE0">
        <w:rPr>
          <w:u w:val="none"/>
        </w:rPr>
        <w:t>, Agent must comply with federal fair housing and civil rights requirements, including reasonable accommodation requirements.</w:t>
      </w:r>
    </w:p>
    <w:p w14:paraId="58B1DCC6" w14:textId="77777777" w:rsidR="001D24A3" w:rsidRPr="000E1DE0" w:rsidRDefault="001D24A3" w:rsidP="008E397B">
      <w:pPr>
        <w:ind w:left="360" w:right="180"/>
        <w:jc w:val="both"/>
        <w:rPr>
          <w:b/>
          <w:bCs/>
          <w:u w:val="none"/>
        </w:rPr>
      </w:pPr>
    </w:p>
    <w:p w14:paraId="3A6F7EBB" w14:textId="77777777" w:rsidR="001D24A3" w:rsidRPr="000E1DE0" w:rsidRDefault="001D24A3" w:rsidP="00FE0C37">
      <w:pPr>
        <w:pStyle w:val="ListParagraph"/>
        <w:numPr>
          <w:ilvl w:val="0"/>
          <w:numId w:val="9"/>
        </w:numPr>
        <w:ind w:right="180"/>
        <w:jc w:val="both"/>
        <w:rPr>
          <w:b/>
          <w:bCs/>
          <w:u w:val="none"/>
        </w:rPr>
      </w:pPr>
      <w:r w:rsidRPr="000E1DE0">
        <w:rPr>
          <w:b/>
          <w:bCs/>
          <w:u w:val="none"/>
        </w:rPr>
        <w:t>Exception Policies</w:t>
      </w:r>
    </w:p>
    <w:p w14:paraId="625DADDD" w14:textId="77777777" w:rsidR="001D24A3" w:rsidRPr="000E1DE0" w:rsidRDefault="001D24A3" w:rsidP="008E397B">
      <w:pPr>
        <w:ind w:left="360" w:right="180"/>
        <w:jc w:val="both"/>
        <w:rPr>
          <w:b/>
          <w:bCs/>
          <w:u w:val="none"/>
        </w:rPr>
      </w:pPr>
    </w:p>
    <w:p w14:paraId="3EE3E0A2" w14:textId="77777777" w:rsidR="001D24A3" w:rsidRPr="000E1DE0" w:rsidRDefault="001D24A3" w:rsidP="008E397B">
      <w:pPr>
        <w:ind w:left="720" w:right="180"/>
        <w:jc w:val="both"/>
        <w:rPr>
          <w:b/>
          <w:bCs/>
          <w:u w:val="none"/>
        </w:rPr>
      </w:pPr>
      <w:r w:rsidRPr="000E1DE0">
        <w:rPr>
          <w:b/>
          <w:bCs/>
          <w:u w:val="none"/>
        </w:rPr>
        <w:t xml:space="preserve">Required HOTMA </w:t>
      </w:r>
      <w:r w:rsidR="00643464" w:rsidRPr="000E1DE0">
        <w:rPr>
          <w:b/>
          <w:bCs/>
          <w:u w:val="none"/>
        </w:rPr>
        <w:t>Rule</w:t>
      </w:r>
    </w:p>
    <w:p w14:paraId="472D8F87" w14:textId="77777777" w:rsidR="001D24A3" w:rsidRPr="000E1DE0" w:rsidRDefault="001D24A3" w:rsidP="008E397B">
      <w:pPr>
        <w:ind w:left="720" w:right="180"/>
        <w:jc w:val="both"/>
        <w:rPr>
          <w:u w:val="none"/>
        </w:rPr>
      </w:pPr>
    </w:p>
    <w:p w14:paraId="39E7FE5E" w14:textId="77777777" w:rsidR="001D24A3" w:rsidRPr="000E1DE0" w:rsidRDefault="006A106D" w:rsidP="008E397B">
      <w:pPr>
        <w:ind w:left="720" w:right="180"/>
        <w:jc w:val="both"/>
        <w:rPr>
          <w:u w:val="none"/>
        </w:rPr>
      </w:pPr>
      <w:r w:rsidRPr="000E1DE0">
        <w:rPr>
          <w:u w:val="none"/>
        </w:rPr>
        <w:t xml:space="preserve">The </w:t>
      </w:r>
      <w:r w:rsidR="001D24A3" w:rsidRPr="000E1DE0">
        <w:rPr>
          <w:u w:val="none"/>
        </w:rPr>
        <w:t>Agent may establish exceptions to the asset limitation during reexamination so that families in specified exception categories will receive either total non-enforcement or limited enforcement, depending on the exception policy adopted. Families in the specified exception categories would either (a) not be subject to termination of assistance proceedings due to non-compliance with the</w:t>
      </w:r>
      <w:r w:rsidR="0051478F" w:rsidRPr="000E1DE0">
        <w:rPr>
          <w:u w:val="none"/>
        </w:rPr>
        <w:t xml:space="preserve"> </w:t>
      </w:r>
      <w:r w:rsidR="001D24A3" w:rsidRPr="000E1DE0">
        <w:rPr>
          <w:u w:val="none"/>
        </w:rPr>
        <w:t xml:space="preserve">asset limitation at a reexamination, or (b) they would be provided an opportunity, up to but no longer than six months, to come back into compliance, after which point the asset limitation would be enforced. An exception policy may be combined with a limited enforcement policy for all other families not in the exception </w:t>
      </w:r>
      <w:r w:rsidR="001D24A3" w:rsidRPr="000E1DE0">
        <w:rPr>
          <w:u w:val="none"/>
        </w:rPr>
        <w:lastRenderedPageBreak/>
        <w:t>categories, as described below.</w:t>
      </w:r>
    </w:p>
    <w:p w14:paraId="14162B33" w14:textId="77777777" w:rsidR="00804894" w:rsidRPr="000E1DE0" w:rsidRDefault="00804894" w:rsidP="008E397B">
      <w:pPr>
        <w:ind w:left="720" w:right="180"/>
        <w:jc w:val="both"/>
        <w:rPr>
          <w:u w:val="none"/>
        </w:rPr>
      </w:pPr>
    </w:p>
    <w:p w14:paraId="31840F35" w14:textId="77777777" w:rsidR="001D24A3" w:rsidRPr="000E1DE0" w:rsidRDefault="001D24A3" w:rsidP="008E397B">
      <w:pPr>
        <w:ind w:left="720" w:right="180"/>
        <w:jc w:val="both"/>
        <w:rPr>
          <w:b/>
          <w:bCs/>
          <w:u w:val="none"/>
        </w:rPr>
      </w:pPr>
      <w:r w:rsidRPr="000E1DE0">
        <w:rPr>
          <w:b/>
          <w:bCs/>
          <w:u w:val="none"/>
        </w:rPr>
        <w:t xml:space="preserve">Agent’s Discretionary Policy </w:t>
      </w:r>
    </w:p>
    <w:p w14:paraId="32482944" w14:textId="77777777" w:rsidR="001D24A3" w:rsidRPr="000E1DE0" w:rsidRDefault="001D24A3" w:rsidP="008E397B">
      <w:pPr>
        <w:ind w:left="720" w:right="180"/>
        <w:jc w:val="both"/>
        <w:rPr>
          <w:u w:val="none"/>
        </w:rPr>
      </w:pPr>
    </w:p>
    <w:p w14:paraId="1563D459" w14:textId="77777777" w:rsidR="0042691F" w:rsidRPr="000E1DE0" w:rsidRDefault="001D24A3" w:rsidP="008E397B">
      <w:pPr>
        <w:ind w:left="720" w:right="180"/>
        <w:jc w:val="both"/>
        <w:rPr>
          <w:u w:val="none"/>
        </w:rPr>
      </w:pPr>
      <w:r w:rsidRPr="000E1DE0">
        <w:rPr>
          <w:u w:val="none"/>
        </w:rPr>
        <w:t xml:space="preserve">Has the Agent adopted an exception policy to the asset limitation during reexamination? </w:t>
      </w:r>
    </w:p>
    <w:p w14:paraId="31D6081D" w14:textId="77777777" w:rsidR="00423888" w:rsidRPr="000E1DE0" w:rsidRDefault="00423888" w:rsidP="008E397B">
      <w:pPr>
        <w:ind w:left="720" w:right="180"/>
        <w:jc w:val="both"/>
        <w:rPr>
          <w:u w:val="none"/>
        </w:rPr>
      </w:pPr>
    </w:p>
    <w:p w14:paraId="7B0219B2" w14:textId="77777777" w:rsidR="001D24A3" w:rsidRPr="000E1DE0" w:rsidRDefault="00962582" w:rsidP="008E397B">
      <w:pPr>
        <w:ind w:left="1440" w:right="180" w:hanging="450"/>
        <w:jc w:val="both"/>
        <w:rPr>
          <w:u w:val="none"/>
        </w:rPr>
      </w:pPr>
      <w:sdt>
        <w:sdtPr>
          <w:rPr>
            <w:u w:val="none"/>
          </w:rPr>
          <w:id w:val="1154258145"/>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1D24A3" w:rsidRPr="000E1DE0">
        <w:rPr>
          <w:u w:val="none"/>
        </w:rPr>
        <w:t>Yes</w:t>
      </w:r>
    </w:p>
    <w:p w14:paraId="1AA0C7B7" w14:textId="77777777" w:rsidR="001D24A3" w:rsidRPr="000E1DE0" w:rsidRDefault="00962582" w:rsidP="008E397B">
      <w:pPr>
        <w:ind w:left="1440" w:right="180" w:hanging="450"/>
        <w:jc w:val="both"/>
        <w:rPr>
          <w:u w:val="none"/>
        </w:rPr>
      </w:pPr>
      <w:sdt>
        <w:sdtPr>
          <w:rPr>
            <w:u w:val="none"/>
          </w:rPr>
          <w:id w:val="-2059390176"/>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1D24A3" w:rsidRPr="000E1DE0">
        <w:rPr>
          <w:u w:val="none"/>
        </w:rPr>
        <w:t>No</w:t>
      </w:r>
    </w:p>
    <w:p w14:paraId="251A694F" w14:textId="77777777" w:rsidR="008B587C" w:rsidRPr="000E1DE0" w:rsidRDefault="00962582" w:rsidP="008E397B">
      <w:pPr>
        <w:ind w:left="1440" w:right="180" w:hanging="450"/>
        <w:jc w:val="both"/>
        <w:rPr>
          <w:u w:val="none"/>
        </w:rPr>
      </w:pPr>
      <w:sdt>
        <w:sdtPr>
          <w:rPr>
            <w:u w:val="none"/>
          </w:rPr>
          <w:id w:val="1936095463"/>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8B587C" w:rsidRPr="000E1DE0">
        <w:rPr>
          <w:u w:val="none"/>
        </w:rPr>
        <w:t>N</w:t>
      </w:r>
      <w:r w:rsidR="006A106D" w:rsidRPr="000E1DE0">
        <w:rPr>
          <w:u w:val="none"/>
        </w:rPr>
        <w:t>/</w:t>
      </w:r>
      <w:r w:rsidR="008B587C" w:rsidRPr="000E1DE0">
        <w:rPr>
          <w:u w:val="none"/>
        </w:rPr>
        <w:t>A</w:t>
      </w:r>
      <w:r w:rsidR="006A106D" w:rsidRPr="000E1DE0">
        <w:rPr>
          <w:u w:val="none"/>
        </w:rPr>
        <w:t xml:space="preserve"> </w:t>
      </w:r>
      <w:r w:rsidR="008B587C" w:rsidRPr="000E1DE0">
        <w:rPr>
          <w:u w:val="none"/>
        </w:rPr>
        <w:t>(</w:t>
      </w:r>
      <w:r w:rsidR="006A106D" w:rsidRPr="000E1DE0">
        <w:rPr>
          <w:u w:val="none"/>
        </w:rPr>
        <w:t>i.e. The A</w:t>
      </w:r>
      <w:r w:rsidR="008B587C" w:rsidRPr="000E1DE0">
        <w:rPr>
          <w:u w:val="none"/>
        </w:rPr>
        <w:t>gent has chosen total non-enforcement</w:t>
      </w:r>
      <w:r w:rsidR="006A106D" w:rsidRPr="000E1DE0">
        <w:rPr>
          <w:u w:val="none"/>
        </w:rPr>
        <w:t xml:space="preserve"> of asset limitation at annual and interim reexamination</w:t>
      </w:r>
      <w:r w:rsidR="008B587C" w:rsidRPr="000E1DE0">
        <w:rPr>
          <w:u w:val="none"/>
        </w:rPr>
        <w:t>)</w:t>
      </w:r>
    </w:p>
    <w:p w14:paraId="0146CD86" w14:textId="77777777" w:rsidR="001D24A3" w:rsidRPr="000E1DE0" w:rsidRDefault="001D24A3" w:rsidP="008E397B">
      <w:pPr>
        <w:ind w:left="720" w:right="180"/>
        <w:jc w:val="both"/>
        <w:rPr>
          <w:u w:val="none"/>
        </w:rPr>
      </w:pPr>
    </w:p>
    <w:p w14:paraId="14474EA5" w14:textId="77777777" w:rsidR="00DA2B1B" w:rsidRPr="000E1DE0" w:rsidRDefault="009559AC" w:rsidP="008E397B">
      <w:pPr>
        <w:ind w:left="720" w:right="180"/>
        <w:jc w:val="both"/>
        <w:rPr>
          <w:u w:val="none"/>
        </w:rPr>
      </w:pPr>
      <w:r w:rsidRPr="000E1DE0">
        <w:rPr>
          <w:u w:val="none"/>
        </w:rPr>
        <w:t xml:space="preserve">If yes, Agent must detail family type(s) eligible for the </w:t>
      </w:r>
      <w:r w:rsidR="00087B4C" w:rsidRPr="000E1DE0">
        <w:rPr>
          <w:u w:val="none"/>
        </w:rPr>
        <w:t xml:space="preserve">exception to the asset </w:t>
      </w:r>
      <w:r w:rsidRPr="000E1DE0">
        <w:rPr>
          <w:u w:val="none"/>
        </w:rPr>
        <w:t>limitation</w:t>
      </w:r>
      <w:r w:rsidR="00087B4C" w:rsidRPr="000E1DE0">
        <w:rPr>
          <w:u w:val="none"/>
        </w:rPr>
        <w:t xml:space="preserve"> during reexamination,</w:t>
      </w:r>
      <w:r w:rsidRPr="000E1DE0">
        <w:rPr>
          <w:u w:val="none"/>
        </w:rPr>
        <w:t xml:space="preserve"> and may take into consideration such factors as age, disability, income, the ability of the family to find suitable alternative housing, and whether supportive services are being provided.</w:t>
      </w:r>
    </w:p>
    <w:p w14:paraId="0EA0D5EE" w14:textId="77777777" w:rsidR="00015976" w:rsidRPr="000E1DE0" w:rsidRDefault="00015976" w:rsidP="008E397B">
      <w:pPr>
        <w:ind w:left="720" w:right="180"/>
        <w:jc w:val="both"/>
        <w:rPr>
          <w:u w:val="none"/>
        </w:rPr>
      </w:pPr>
    </w:p>
    <w:tbl>
      <w:tblPr>
        <w:tblStyle w:val="TableGrid"/>
        <w:tblW w:w="4524" w:type="pct"/>
        <w:tblInd w:w="715" w:type="dxa"/>
        <w:tblCellMar>
          <w:top w:w="115" w:type="dxa"/>
          <w:bottom w:w="115" w:type="dxa"/>
        </w:tblCellMar>
        <w:tblLook w:val="04A0" w:firstRow="1" w:lastRow="0" w:firstColumn="1" w:lastColumn="0" w:noHBand="0" w:noVBand="1"/>
      </w:tblPr>
      <w:tblGrid>
        <w:gridCol w:w="8460"/>
      </w:tblGrid>
      <w:tr w:rsidR="00435AA0" w:rsidRPr="000E1DE0" w14:paraId="0A845963" w14:textId="77777777" w:rsidTr="008D1E9F">
        <w:trPr>
          <w:trHeight w:val="791"/>
        </w:trPr>
        <w:tc>
          <w:tcPr>
            <w:tcW w:w="5000" w:type="pct"/>
          </w:tcPr>
          <w:p w14:paraId="4B3BBD1A" w14:textId="77777777" w:rsidR="009D476C" w:rsidRPr="00947225" w:rsidRDefault="009D476C" w:rsidP="00947225">
            <w:pPr>
              <w:ind w:right="-29"/>
              <w:rPr>
                <w:i/>
                <w:iCs/>
                <w:sz w:val="20"/>
                <w:szCs w:val="20"/>
                <w:u w:val="none"/>
              </w:rPr>
            </w:pPr>
            <w:r w:rsidRPr="00947225">
              <w:rPr>
                <w:i/>
                <w:iCs/>
                <w:sz w:val="20"/>
                <w:szCs w:val="20"/>
                <w:u w:val="none"/>
              </w:rPr>
              <w:t>[Provide detail on policy exceptions to the asset limitation based on family type.]</w:t>
            </w:r>
          </w:p>
          <w:p w14:paraId="4DD26207" w14:textId="77777777" w:rsidR="009D476C" w:rsidRPr="00947225" w:rsidRDefault="009D476C" w:rsidP="00947225">
            <w:pPr>
              <w:ind w:right="-29"/>
              <w:jc w:val="both"/>
              <w:rPr>
                <w:i/>
                <w:iCs/>
                <w:sz w:val="20"/>
                <w:szCs w:val="20"/>
                <w:u w:val="none"/>
              </w:rPr>
            </w:pPr>
          </w:p>
          <w:p w14:paraId="1B0784F5" w14:textId="77777777" w:rsidR="009D476C" w:rsidRPr="000E1DE0" w:rsidRDefault="001B4C00" w:rsidP="009471B8">
            <w:pPr>
              <w:ind w:right="-29"/>
              <w:jc w:val="both"/>
              <w:rPr>
                <w:u w:val="none"/>
              </w:rPr>
            </w:pPr>
            <w:r w:rsidRPr="000E1DE0">
              <w:rPr>
                <w:i/>
                <w:iCs/>
                <w:u w:val="none"/>
              </w:rPr>
              <w:fldChar w:fldCharType="begin">
                <w:ffData>
                  <w:name w:val="box2"/>
                  <w:enabled/>
                  <w:calcOnExit/>
                  <w:textInput>
                    <w:maxLength w:val="15000"/>
                  </w:textInput>
                </w:ffData>
              </w:fldChar>
            </w:r>
            <w:bookmarkStart w:id="12" w:name="box2"/>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12"/>
          </w:p>
        </w:tc>
      </w:tr>
    </w:tbl>
    <w:p w14:paraId="1265EF27" w14:textId="77777777" w:rsidR="00435AA0" w:rsidRPr="000E1DE0" w:rsidRDefault="00435AA0" w:rsidP="008E397B">
      <w:pPr>
        <w:ind w:left="720" w:right="180"/>
        <w:jc w:val="both"/>
        <w:rPr>
          <w:u w:val="none"/>
        </w:rPr>
      </w:pPr>
    </w:p>
    <w:p w14:paraId="6B9469E1" w14:textId="77777777" w:rsidR="001D24A3" w:rsidRPr="000E1DE0" w:rsidRDefault="001D24A3" w:rsidP="008E397B">
      <w:pPr>
        <w:ind w:left="720" w:right="180"/>
        <w:jc w:val="both"/>
        <w:rPr>
          <w:u w:val="none"/>
        </w:rPr>
      </w:pPr>
      <w:r w:rsidRPr="000E1DE0">
        <w:rPr>
          <w:u w:val="none"/>
        </w:rPr>
        <w:t xml:space="preserve">If yes, what is the exception to the policy? </w:t>
      </w:r>
    </w:p>
    <w:p w14:paraId="37AEDE37" w14:textId="77777777" w:rsidR="00AE1490" w:rsidRPr="000E1DE0" w:rsidRDefault="00AE1490" w:rsidP="008E397B">
      <w:pPr>
        <w:ind w:left="720" w:right="180"/>
        <w:jc w:val="both"/>
        <w:rPr>
          <w:u w:val="none"/>
        </w:rPr>
      </w:pPr>
    </w:p>
    <w:p w14:paraId="4A8FB906" w14:textId="77777777" w:rsidR="001D24A3" w:rsidRPr="000E1DE0" w:rsidRDefault="00962582" w:rsidP="008E397B">
      <w:pPr>
        <w:ind w:left="1440" w:right="180" w:hanging="450"/>
        <w:jc w:val="both"/>
        <w:rPr>
          <w:u w:val="none"/>
        </w:rPr>
      </w:pPr>
      <w:sdt>
        <w:sdtPr>
          <w:rPr>
            <w:u w:val="none"/>
          </w:rPr>
          <w:id w:val="1033617829"/>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1D24A3" w:rsidRPr="000E1DE0">
        <w:rPr>
          <w:u w:val="none"/>
        </w:rPr>
        <w:t>Total non-enforcement for excepted families</w:t>
      </w:r>
    </w:p>
    <w:p w14:paraId="06B9FB3E" w14:textId="77777777" w:rsidR="001D24A3" w:rsidRPr="000E1DE0" w:rsidRDefault="00962582" w:rsidP="008E397B">
      <w:pPr>
        <w:ind w:left="1440" w:right="180" w:hanging="450"/>
        <w:jc w:val="both"/>
        <w:rPr>
          <w:u w:val="none"/>
        </w:rPr>
      </w:pPr>
      <w:sdt>
        <w:sdtPr>
          <w:rPr>
            <w:u w:val="none"/>
          </w:rPr>
          <w:id w:val="-1110354374"/>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1D24A3" w:rsidRPr="000E1DE0">
        <w:rPr>
          <w:u w:val="none"/>
        </w:rPr>
        <w:t>Limited enforcement for excepted families to give those families the opportunity to cure</w:t>
      </w:r>
      <w:r w:rsidR="00FE7AC0" w:rsidRPr="000E1DE0">
        <w:rPr>
          <w:u w:val="none"/>
        </w:rPr>
        <w:t xml:space="preserve"> </w:t>
      </w:r>
      <w:r w:rsidR="001D24A3" w:rsidRPr="000E1DE0">
        <w:rPr>
          <w:u w:val="none"/>
        </w:rPr>
        <w:t>noncompliance with the asset limitation for a period up to six months.</w:t>
      </w:r>
    </w:p>
    <w:p w14:paraId="27E827C2" w14:textId="77777777" w:rsidR="001D24A3" w:rsidRPr="000E1DE0" w:rsidRDefault="001D24A3" w:rsidP="008E397B">
      <w:pPr>
        <w:pStyle w:val="ListParagraph"/>
        <w:ind w:right="180"/>
        <w:jc w:val="both"/>
        <w:rPr>
          <w:u w:val="none"/>
        </w:rPr>
      </w:pPr>
    </w:p>
    <w:p w14:paraId="1049F3BA" w14:textId="504C854E" w:rsidR="001D24A3" w:rsidRPr="000E1DE0" w:rsidRDefault="001D24A3" w:rsidP="008E397B">
      <w:pPr>
        <w:ind w:left="720" w:right="180"/>
        <w:rPr>
          <w:u w:val="none"/>
        </w:rPr>
      </w:pPr>
      <w:r w:rsidRPr="000E1DE0">
        <w:rPr>
          <w:u w:val="none"/>
        </w:rPr>
        <w:t xml:space="preserve">If excepted families are subject to limited nonenforcement, what is the timeframe for curing </w:t>
      </w:r>
      <w:r w:rsidR="0051478F" w:rsidRPr="000E1DE0">
        <w:rPr>
          <w:u w:val="none"/>
        </w:rPr>
        <w:t>noncompliance</w:t>
      </w:r>
      <w:r w:rsidRPr="000E1DE0">
        <w:rPr>
          <w:u w:val="none"/>
        </w:rPr>
        <w:t>, not to exceed six months?</w:t>
      </w:r>
      <w:r w:rsidR="00F44C63" w:rsidRPr="000E1DE0">
        <w:rPr>
          <w:u w:val="none"/>
        </w:rPr>
        <w:t xml:space="preserve"> </w:t>
      </w:r>
      <w:r w:rsidR="00F44C63" w:rsidRPr="000E1DE0">
        <w:rPr>
          <w14:ligatures w14:val="none"/>
        </w:rPr>
        <w:object w:dxaOrig="1440" w:dyaOrig="1440" w14:anchorId="08AA7DA4">
          <v:shape id="_x0000_i1050" type="#_x0000_t75" style="width:27pt;height:16.5pt" o:ole="">
            <v:imagedata r:id="rId24" o:title=""/>
          </v:shape>
          <w:control r:id="rId25" w:name="TextBox11111111111111111" w:shapeid="_x0000_i1050"/>
        </w:object>
      </w:r>
      <w:r w:rsidR="00F44C63" w:rsidRPr="000E1DE0">
        <w:rPr>
          <w:u w:val="none"/>
        </w:rPr>
        <w:t xml:space="preserve"> </w:t>
      </w:r>
      <w:r w:rsidR="00CF0A37" w:rsidRPr="000E1DE0">
        <w:rPr>
          <w:u w:val="none"/>
        </w:rPr>
        <w:t xml:space="preserve"> </w:t>
      </w:r>
    </w:p>
    <w:p w14:paraId="0017ED88" w14:textId="77777777" w:rsidR="008F7B61" w:rsidRPr="000E1DE0" w:rsidRDefault="008F7B61" w:rsidP="008E397B">
      <w:pPr>
        <w:ind w:left="720" w:right="180"/>
        <w:rPr>
          <w:u w:val="none"/>
        </w:rPr>
      </w:pPr>
    </w:p>
    <w:p w14:paraId="31002E68" w14:textId="77777777" w:rsidR="008F7B61" w:rsidRPr="000E1DE0" w:rsidRDefault="008F7B61" w:rsidP="008E397B">
      <w:pPr>
        <w:ind w:left="720" w:right="180"/>
        <w:rPr>
          <w:u w:val="none"/>
        </w:rPr>
      </w:pPr>
      <w:r w:rsidRPr="000E1DE0">
        <w:rPr>
          <w:u w:val="none"/>
        </w:rPr>
        <w:t>Note: Agents who establish exception policies with a limited enforcement period may not delay initiation of termination of assistance beyond six months after the effective date of the annual or interim reexamination.</w:t>
      </w:r>
    </w:p>
    <w:p w14:paraId="6F0127DE" w14:textId="77777777" w:rsidR="00812183" w:rsidRPr="000E1DE0" w:rsidRDefault="00812183" w:rsidP="008E397B">
      <w:pPr>
        <w:ind w:left="720" w:right="180"/>
        <w:rPr>
          <w:u w:val="none"/>
        </w:rPr>
      </w:pPr>
    </w:p>
    <w:tbl>
      <w:tblPr>
        <w:tblStyle w:val="TableGrid"/>
        <w:tblW w:w="4524" w:type="pct"/>
        <w:tblInd w:w="715" w:type="dxa"/>
        <w:tblCellMar>
          <w:top w:w="115" w:type="dxa"/>
          <w:bottom w:w="115" w:type="dxa"/>
        </w:tblCellMar>
        <w:tblLook w:val="04A0" w:firstRow="1" w:lastRow="0" w:firstColumn="1" w:lastColumn="0" w:noHBand="0" w:noVBand="1"/>
      </w:tblPr>
      <w:tblGrid>
        <w:gridCol w:w="8460"/>
      </w:tblGrid>
      <w:tr w:rsidR="00435AA0" w:rsidRPr="000E1DE0" w14:paraId="1D6E146A" w14:textId="77777777" w:rsidTr="008D1E9F">
        <w:trPr>
          <w:trHeight w:val="1061"/>
        </w:trPr>
        <w:tc>
          <w:tcPr>
            <w:tcW w:w="5000" w:type="pct"/>
          </w:tcPr>
          <w:p w14:paraId="1A636032" w14:textId="77777777" w:rsidR="009D476C" w:rsidRPr="00947225" w:rsidRDefault="009D476C" w:rsidP="00947225">
            <w:pPr>
              <w:rPr>
                <w:i/>
                <w:iCs/>
                <w:sz w:val="20"/>
                <w:szCs w:val="20"/>
                <w:u w:val="none"/>
              </w:rPr>
            </w:pPr>
            <w:r w:rsidRPr="00947225">
              <w:rPr>
                <w:i/>
                <w:iCs/>
                <w:sz w:val="20"/>
                <w:szCs w:val="20"/>
                <w:u w:val="none"/>
              </w:rPr>
              <w:t>[Insert exception policy specified above to the asset limitation during reexamination, if applicable.]</w:t>
            </w:r>
          </w:p>
          <w:p w14:paraId="716E0B0B" w14:textId="77777777" w:rsidR="00812183" w:rsidRPr="00947225" w:rsidRDefault="00812183" w:rsidP="00947225">
            <w:pPr>
              <w:ind w:left="-15"/>
              <w:jc w:val="both"/>
              <w:rPr>
                <w:i/>
                <w:iCs/>
                <w:sz w:val="20"/>
                <w:szCs w:val="20"/>
                <w:u w:val="none"/>
              </w:rPr>
            </w:pPr>
          </w:p>
          <w:p w14:paraId="25AA9DA2" w14:textId="77777777" w:rsidR="00812183" w:rsidRPr="000E1DE0" w:rsidRDefault="001B4C00" w:rsidP="009471B8">
            <w:pPr>
              <w:ind w:left="-15"/>
              <w:jc w:val="both"/>
              <w:rPr>
                <w:i/>
                <w:iCs/>
                <w:u w:val="none"/>
              </w:rPr>
            </w:pPr>
            <w:r w:rsidRPr="000E1DE0">
              <w:rPr>
                <w:i/>
                <w:iCs/>
                <w:u w:val="none"/>
              </w:rPr>
              <w:fldChar w:fldCharType="begin">
                <w:ffData>
                  <w:name w:val="box3"/>
                  <w:enabled/>
                  <w:calcOnExit/>
                  <w:textInput>
                    <w:maxLength w:val="15000"/>
                  </w:textInput>
                </w:ffData>
              </w:fldChar>
            </w:r>
            <w:bookmarkStart w:id="13" w:name="box3"/>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13"/>
          </w:p>
        </w:tc>
      </w:tr>
    </w:tbl>
    <w:p w14:paraId="2311E1B4" w14:textId="77777777" w:rsidR="001B4C00" w:rsidRPr="000E1DE0" w:rsidRDefault="001B4C00" w:rsidP="008E397B">
      <w:pPr>
        <w:ind w:left="720" w:right="180"/>
        <w:rPr>
          <w:u w:val="none"/>
        </w:rPr>
      </w:pPr>
    </w:p>
    <w:p w14:paraId="000C7CE7" w14:textId="77777777" w:rsidR="004D1CD4" w:rsidRPr="000E1DE0" w:rsidRDefault="00A74A41" w:rsidP="00FE0C37">
      <w:pPr>
        <w:pStyle w:val="ListParagraph"/>
        <w:numPr>
          <w:ilvl w:val="0"/>
          <w:numId w:val="13"/>
        </w:numPr>
        <w:tabs>
          <w:tab w:val="left" w:pos="450"/>
        </w:tabs>
        <w:ind w:right="180" w:hanging="720"/>
        <w:jc w:val="both"/>
        <w:rPr>
          <w:b/>
          <w:bCs/>
          <w:sz w:val="28"/>
          <w:szCs w:val="28"/>
          <w:u w:val="none"/>
        </w:rPr>
      </w:pPr>
      <w:r w:rsidRPr="000E1DE0">
        <w:rPr>
          <w:b/>
          <w:bCs/>
          <w:sz w:val="28"/>
          <w:szCs w:val="28"/>
          <w:u w:val="none"/>
        </w:rPr>
        <w:t>Calculating Income</w:t>
      </w:r>
    </w:p>
    <w:p w14:paraId="7A205A78" w14:textId="77777777" w:rsidR="000F5202" w:rsidRPr="000E1DE0" w:rsidRDefault="000F5202" w:rsidP="008E397B">
      <w:pPr>
        <w:ind w:right="180"/>
        <w:jc w:val="both"/>
        <w:rPr>
          <w:u w:val="none"/>
        </w:rPr>
      </w:pPr>
    </w:p>
    <w:p w14:paraId="463BA269" w14:textId="77777777" w:rsidR="00270C25" w:rsidRPr="000E1DE0" w:rsidRDefault="00327D1F" w:rsidP="00FE0C37">
      <w:pPr>
        <w:pStyle w:val="ListParagraph"/>
        <w:numPr>
          <w:ilvl w:val="0"/>
          <w:numId w:val="11"/>
        </w:numPr>
        <w:ind w:left="720" w:right="180" w:hanging="450"/>
        <w:jc w:val="both"/>
        <w:rPr>
          <w:b/>
          <w:bCs/>
          <w:u w:val="none"/>
        </w:rPr>
      </w:pPr>
      <w:r w:rsidRPr="000E1DE0">
        <w:rPr>
          <w:b/>
          <w:bCs/>
          <w:u w:val="none"/>
        </w:rPr>
        <w:t>De Minimis Errors in Income Determinations</w:t>
      </w:r>
      <w:r w:rsidR="00270C25" w:rsidRPr="000E1DE0">
        <w:rPr>
          <w:b/>
          <w:bCs/>
          <w:u w:val="none"/>
        </w:rPr>
        <w:t xml:space="preserve"> </w:t>
      </w:r>
    </w:p>
    <w:p w14:paraId="78D25E26" w14:textId="77777777" w:rsidR="000F5202" w:rsidRPr="000E1DE0" w:rsidRDefault="000F5202" w:rsidP="008E397B">
      <w:pPr>
        <w:ind w:right="180"/>
        <w:jc w:val="both"/>
        <w:rPr>
          <w:u w:val="none"/>
        </w:rPr>
      </w:pPr>
      <w:bookmarkStart w:id="14" w:name="_Hlk152161549"/>
    </w:p>
    <w:p w14:paraId="3972C700" w14:textId="77777777" w:rsidR="00E07B9F" w:rsidRPr="000E1DE0" w:rsidRDefault="0031511C" w:rsidP="008E397B">
      <w:pPr>
        <w:ind w:left="720" w:right="180"/>
        <w:jc w:val="both"/>
        <w:rPr>
          <w:u w:val="none"/>
        </w:rPr>
      </w:pPr>
      <w:r w:rsidRPr="000E1DE0">
        <w:rPr>
          <w:u w:val="none"/>
        </w:rPr>
        <w:lastRenderedPageBreak/>
        <w:t xml:space="preserve">Regulations: </w:t>
      </w:r>
      <w:bookmarkEnd w:id="14"/>
      <w:r w:rsidR="00A44C91" w:rsidRPr="000E1DE0">
        <w:rPr>
          <w:u w:val="none"/>
        </w:rPr>
        <w:t>24 CFR § 5.609(c)(4); 5.657(f); 891.105; 891.410(g); and 891.610(g)</w:t>
      </w:r>
    </w:p>
    <w:p w14:paraId="034913C2" w14:textId="77777777" w:rsidR="00A44C91" w:rsidRPr="000E1DE0" w:rsidRDefault="00A44C91" w:rsidP="008E397B">
      <w:pPr>
        <w:ind w:left="720" w:right="180"/>
        <w:jc w:val="both"/>
        <w:rPr>
          <w:u w:val="none"/>
        </w:rPr>
      </w:pPr>
    </w:p>
    <w:p w14:paraId="2587BB44" w14:textId="77777777" w:rsidR="00AB7398" w:rsidRPr="000E1DE0" w:rsidRDefault="00AB7398" w:rsidP="008E397B">
      <w:pPr>
        <w:ind w:left="720" w:right="180"/>
        <w:jc w:val="both"/>
        <w:rPr>
          <w:b/>
          <w:bCs/>
          <w:u w:val="none"/>
        </w:rPr>
      </w:pPr>
      <w:bookmarkStart w:id="15" w:name="_Hlk156493951"/>
      <w:r w:rsidRPr="000E1DE0">
        <w:rPr>
          <w:b/>
          <w:bCs/>
          <w:u w:val="none"/>
        </w:rPr>
        <w:t xml:space="preserve">Required </w:t>
      </w:r>
      <w:r w:rsidR="00C93633" w:rsidRPr="000E1DE0">
        <w:rPr>
          <w:b/>
          <w:bCs/>
          <w:u w:val="none"/>
        </w:rPr>
        <w:t xml:space="preserve">HOTMA </w:t>
      </w:r>
      <w:r w:rsidR="00F4437C" w:rsidRPr="000E1DE0">
        <w:rPr>
          <w:b/>
          <w:bCs/>
          <w:u w:val="none"/>
        </w:rPr>
        <w:t>Rule</w:t>
      </w:r>
    </w:p>
    <w:bookmarkEnd w:id="15"/>
    <w:p w14:paraId="6327E59D" w14:textId="77777777" w:rsidR="00AB7398" w:rsidRPr="000E1DE0" w:rsidRDefault="00AB7398" w:rsidP="008E397B">
      <w:pPr>
        <w:ind w:left="720" w:right="180"/>
        <w:jc w:val="both"/>
        <w:rPr>
          <w:b/>
          <w:bCs/>
          <w:u w:val="none"/>
        </w:rPr>
      </w:pPr>
    </w:p>
    <w:p w14:paraId="0CA09493" w14:textId="77777777" w:rsidR="00AF5D38" w:rsidRPr="000E1DE0" w:rsidRDefault="00601B74" w:rsidP="008E397B">
      <w:pPr>
        <w:ind w:left="720" w:right="180"/>
        <w:jc w:val="both"/>
        <w:rPr>
          <w:u w:val="none"/>
        </w:rPr>
      </w:pPr>
      <w:r w:rsidRPr="000E1DE0">
        <w:rPr>
          <w:u w:val="none"/>
        </w:rPr>
        <w:t xml:space="preserve">Pursuant to 24 CFR §5.609(c)(4), the Agent must take corrective action to credit or repay a family if the family was overcharged tenant rent because of de minimis errors in calculating family income. </w:t>
      </w:r>
      <w:r w:rsidR="00E07B9F" w:rsidRPr="000E1DE0">
        <w:rPr>
          <w:u w:val="none"/>
        </w:rPr>
        <w:t>De minimis errors occur when a</w:t>
      </w:r>
      <w:r w:rsidR="00C45251" w:rsidRPr="000E1DE0">
        <w:rPr>
          <w:u w:val="none"/>
        </w:rPr>
        <w:t>n</w:t>
      </w:r>
      <w:r w:rsidR="00E07B9F" w:rsidRPr="000E1DE0">
        <w:rPr>
          <w:u w:val="none"/>
        </w:rPr>
        <w:t xml:space="preserve"> </w:t>
      </w:r>
      <w:r w:rsidR="00C45251" w:rsidRPr="000E1DE0">
        <w:rPr>
          <w:u w:val="none"/>
        </w:rPr>
        <w:t>Agent</w:t>
      </w:r>
      <w:r w:rsidR="00E07B9F" w:rsidRPr="000E1DE0">
        <w:rPr>
          <w:u w:val="none"/>
        </w:rPr>
        <w:t>’s determination of a family’s income deviates from the correct income determination by no more than $30 per month in monthly adjusted income (or $360 in annual adjusted income). HUD may revise the threshold amount that constitutes a “de minimis error” through rulemaking.</w:t>
      </w:r>
    </w:p>
    <w:p w14:paraId="07708B65" w14:textId="77777777" w:rsidR="00E07B9F" w:rsidRPr="000E1DE0" w:rsidRDefault="00E07B9F" w:rsidP="008E397B">
      <w:pPr>
        <w:ind w:left="720" w:right="180"/>
        <w:jc w:val="both"/>
        <w:rPr>
          <w:u w:val="none"/>
        </w:rPr>
      </w:pPr>
    </w:p>
    <w:p w14:paraId="03A059D1" w14:textId="77777777" w:rsidR="005A46F4" w:rsidRPr="000E1DE0" w:rsidRDefault="00601B74" w:rsidP="008E397B">
      <w:pPr>
        <w:ind w:left="720" w:right="180"/>
        <w:jc w:val="both"/>
        <w:rPr>
          <w:u w:val="none"/>
        </w:rPr>
      </w:pPr>
      <w:r w:rsidRPr="000E1DE0">
        <w:rPr>
          <w:u w:val="none"/>
        </w:rPr>
        <w:t xml:space="preserve">Families will not be required to repay the Agent in instances where the Agent miscalculated income resulting in a family being undercharged for rent. The </w:t>
      </w:r>
      <w:r w:rsidR="00B25E68" w:rsidRPr="000E1DE0">
        <w:rPr>
          <w:u w:val="none"/>
        </w:rPr>
        <w:t>Agent is</w:t>
      </w:r>
      <w:r w:rsidR="00B94E19" w:rsidRPr="000E1DE0">
        <w:rPr>
          <w:u w:val="none"/>
        </w:rPr>
        <w:t xml:space="preserve"> obligated to correct the error(s) retroactive to the effective date of the action the error was made regardless of the dollar amount associated with the error.</w:t>
      </w:r>
      <w:r w:rsidR="008E4B75" w:rsidRPr="000E1DE0">
        <w:rPr>
          <w:u w:val="none"/>
        </w:rPr>
        <w:t xml:space="preserve"> </w:t>
      </w:r>
    </w:p>
    <w:p w14:paraId="39A25C47" w14:textId="77777777" w:rsidR="0081574A" w:rsidRPr="000E1DE0" w:rsidRDefault="0081574A" w:rsidP="008E397B">
      <w:pPr>
        <w:ind w:left="720" w:right="180"/>
        <w:jc w:val="both"/>
        <w:rPr>
          <w:u w:val="none"/>
        </w:rPr>
      </w:pPr>
    </w:p>
    <w:p w14:paraId="24BACFDC" w14:textId="77777777" w:rsidR="00BC40EE" w:rsidRPr="000E1DE0" w:rsidRDefault="00351772" w:rsidP="008E397B">
      <w:pPr>
        <w:ind w:left="720" w:right="180"/>
        <w:jc w:val="both"/>
        <w:rPr>
          <w:b/>
          <w:bCs/>
          <w:u w:val="none"/>
        </w:rPr>
      </w:pPr>
      <w:bookmarkStart w:id="16" w:name="_Hlk156494156"/>
      <w:r w:rsidRPr="000E1DE0">
        <w:rPr>
          <w:b/>
          <w:bCs/>
          <w:u w:val="none"/>
        </w:rPr>
        <w:t xml:space="preserve">Agent’s </w:t>
      </w:r>
      <w:r w:rsidR="00AB7398" w:rsidRPr="000E1DE0">
        <w:rPr>
          <w:b/>
          <w:bCs/>
          <w:u w:val="none"/>
        </w:rPr>
        <w:t>Discretionary Policy</w:t>
      </w:r>
      <w:r w:rsidR="00B52641" w:rsidRPr="000E1DE0">
        <w:rPr>
          <w:b/>
          <w:bCs/>
          <w:u w:val="none"/>
        </w:rPr>
        <w:t xml:space="preserve"> – Refund or Credit for Tenant Overcharge</w:t>
      </w:r>
    </w:p>
    <w:p w14:paraId="2DC4EA03" w14:textId="77777777" w:rsidR="00B25E68" w:rsidRPr="000E1DE0" w:rsidRDefault="00B25E68" w:rsidP="008E397B">
      <w:pPr>
        <w:ind w:left="720" w:right="180"/>
        <w:jc w:val="both"/>
        <w:rPr>
          <w:b/>
          <w:bCs/>
          <w:u w:val="none"/>
        </w:rPr>
      </w:pPr>
    </w:p>
    <w:bookmarkEnd w:id="16"/>
    <w:p w14:paraId="76524CAE" w14:textId="77777777" w:rsidR="00B25E68" w:rsidRPr="000E1DE0" w:rsidRDefault="00D158EE" w:rsidP="008E397B">
      <w:pPr>
        <w:ind w:left="720" w:right="180"/>
        <w:jc w:val="both"/>
        <w:rPr>
          <w:i/>
          <w:iCs/>
          <w:u w:val="none"/>
        </w:rPr>
      </w:pPr>
      <w:r w:rsidRPr="000E1DE0">
        <w:rPr>
          <w:u w:val="none"/>
        </w:rPr>
        <w:t>O</w:t>
      </w:r>
      <w:r w:rsidR="00800187" w:rsidRPr="000E1DE0">
        <w:rPr>
          <w:u w:val="none"/>
        </w:rPr>
        <w:t>vercharged</w:t>
      </w:r>
      <w:r w:rsidR="00883A49" w:rsidRPr="000E1DE0">
        <w:rPr>
          <w:u w:val="none"/>
        </w:rPr>
        <w:t xml:space="preserve"> tenant rent will be</w:t>
      </w:r>
      <w:r w:rsidR="00B25E68" w:rsidRPr="000E1DE0">
        <w:rPr>
          <w:u w:val="none"/>
        </w:rPr>
        <w:t xml:space="preserve"> </w:t>
      </w:r>
      <w:r w:rsidR="00B25E68" w:rsidRPr="000E1DE0">
        <w:rPr>
          <w:i/>
          <w:iCs/>
          <w:u w:val="none"/>
        </w:rPr>
        <w:t>(check as applicable):</w:t>
      </w:r>
    </w:p>
    <w:p w14:paraId="4E549603" w14:textId="77777777" w:rsidR="009E0104" w:rsidRPr="000E1DE0" w:rsidRDefault="009E0104" w:rsidP="008E397B">
      <w:pPr>
        <w:ind w:left="720" w:right="180"/>
        <w:jc w:val="both"/>
        <w:rPr>
          <w:u w:val="none"/>
        </w:rPr>
      </w:pPr>
    </w:p>
    <w:p w14:paraId="1E0BD306" w14:textId="77777777" w:rsidR="00B669EB" w:rsidRPr="000E1DE0" w:rsidRDefault="00962582" w:rsidP="008E397B">
      <w:pPr>
        <w:ind w:left="990" w:right="180"/>
        <w:jc w:val="both"/>
        <w:rPr>
          <w:u w:val="none"/>
        </w:rPr>
      </w:pPr>
      <w:sdt>
        <w:sdtPr>
          <w:rPr>
            <w:u w:val="none"/>
          </w:rPr>
          <w:id w:val="1772899586"/>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E374DF" w:rsidRPr="000E1DE0">
        <w:rPr>
          <w:u w:val="none"/>
        </w:rPr>
        <w:t>Refund</w:t>
      </w:r>
      <w:r w:rsidR="00D158EE" w:rsidRPr="000E1DE0">
        <w:rPr>
          <w:u w:val="none"/>
        </w:rPr>
        <w:t>ed</w:t>
      </w:r>
      <w:r w:rsidR="00E374DF" w:rsidRPr="000E1DE0">
        <w:rPr>
          <w:u w:val="none"/>
        </w:rPr>
        <w:t xml:space="preserve"> to the </w:t>
      </w:r>
      <w:proofErr w:type="gramStart"/>
      <w:r w:rsidR="00BA22A5" w:rsidRPr="000E1DE0">
        <w:rPr>
          <w:u w:val="none"/>
        </w:rPr>
        <w:t>tenant</w:t>
      </w:r>
      <w:proofErr w:type="gramEnd"/>
      <w:r w:rsidR="00B20366" w:rsidRPr="000E1DE0">
        <w:rPr>
          <w:u w:val="none"/>
        </w:rPr>
        <w:tab/>
      </w:r>
    </w:p>
    <w:p w14:paraId="46AB502A" w14:textId="77777777" w:rsidR="00481C6B" w:rsidRPr="000E1DE0" w:rsidRDefault="00962582" w:rsidP="008E397B">
      <w:pPr>
        <w:ind w:left="990" w:right="180"/>
        <w:jc w:val="both"/>
        <w:rPr>
          <w:u w:val="none"/>
        </w:rPr>
      </w:pPr>
      <w:sdt>
        <w:sdtPr>
          <w:rPr>
            <w:u w:val="none"/>
          </w:rPr>
          <w:id w:val="-606742981"/>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B20366" w:rsidRPr="000E1DE0">
        <w:rPr>
          <w:u w:val="none"/>
        </w:rPr>
        <w:t>Credit</w:t>
      </w:r>
      <w:r w:rsidR="00D158EE" w:rsidRPr="000E1DE0">
        <w:rPr>
          <w:u w:val="none"/>
        </w:rPr>
        <w:t>ed</w:t>
      </w:r>
      <w:r w:rsidR="00BA22A5" w:rsidRPr="000E1DE0">
        <w:rPr>
          <w:u w:val="none"/>
        </w:rPr>
        <w:t xml:space="preserve"> to the </w:t>
      </w:r>
      <w:proofErr w:type="gramStart"/>
      <w:r w:rsidR="00BA22A5" w:rsidRPr="000E1DE0">
        <w:rPr>
          <w:u w:val="none"/>
        </w:rPr>
        <w:t>tenant</w:t>
      </w:r>
      <w:proofErr w:type="gramEnd"/>
    </w:p>
    <w:p w14:paraId="352F43EF" w14:textId="77777777" w:rsidR="00BA22A5" w:rsidRPr="000E1DE0" w:rsidRDefault="00962582" w:rsidP="008E397B">
      <w:pPr>
        <w:ind w:left="990" w:right="180"/>
        <w:jc w:val="both"/>
        <w:rPr>
          <w:u w:val="none"/>
        </w:rPr>
      </w:pPr>
      <w:sdt>
        <w:sdtPr>
          <w:rPr>
            <w:u w:val="none"/>
          </w:rPr>
          <w:id w:val="1734658932"/>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C51082" w:rsidRPr="000E1DE0">
        <w:rPr>
          <w:u w:val="none"/>
        </w:rPr>
        <w:tab/>
      </w:r>
      <w:r w:rsidR="00BA22A5" w:rsidRPr="000E1DE0">
        <w:rPr>
          <w:u w:val="none"/>
        </w:rPr>
        <w:t xml:space="preserve">Allow tenant to decide whether they want a refund or a </w:t>
      </w:r>
      <w:proofErr w:type="gramStart"/>
      <w:r w:rsidR="00BA22A5" w:rsidRPr="000E1DE0">
        <w:rPr>
          <w:u w:val="none"/>
        </w:rPr>
        <w:t>credit</w:t>
      </w:r>
      <w:proofErr w:type="gramEnd"/>
    </w:p>
    <w:p w14:paraId="714DF825" w14:textId="77777777" w:rsidR="00015976" w:rsidRPr="000E1DE0" w:rsidRDefault="00015976" w:rsidP="008E397B">
      <w:pPr>
        <w:pStyle w:val="ListParagraph"/>
        <w:ind w:left="900" w:right="180"/>
        <w:jc w:val="both"/>
        <w:rPr>
          <w:u w:val="none"/>
        </w:rPr>
      </w:pPr>
    </w:p>
    <w:tbl>
      <w:tblPr>
        <w:tblStyle w:val="TableGrid"/>
        <w:tblW w:w="4521" w:type="pct"/>
        <w:tblInd w:w="720" w:type="dxa"/>
        <w:tblCellMar>
          <w:top w:w="115" w:type="dxa"/>
          <w:bottom w:w="115" w:type="dxa"/>
        </w:tblCellMar>
        <w:tblLook w:val="04A0" w:firstRow="1" w:lastRow="0" w:firstColumn="1" w:lastColumn="0" w:noHBand="0" w:noVBand="1"/>
      </w:tblPr>
      <w:tblGrid>
        <w:gridCol w:w="8454"/>
      </w:tblGrid>
      <w:tr w:rsidR="00435AA0" w:rsidRPr="000E1DE0" w14:paraId="226AA284" w14:textId="77777777" w:rsidTr="008D1E9F">
        <w:trPr>
          <w:trHeight w:val="755"/>
        </w:trPr>
        <w:tc>
          <w:tcPr>
            <w:tcW w:w="5000" w:type="pct"/>
          </w:tcPr>
          <w:p w14:paraId="573598DA" w14:textId="77777777" w:rsidR="005F4D79" w:rsidRPr="008164EA" w:rsidRDefault="005F4D79" w:rsidP="008E397B">
            <w:pPr>
              <w:ind w:right="180"/>
              <w:rPr>
                <w:i/>
                <w:iCs/>
                <w:sz w:val="20"/>
                <w:szCs w:val="20"/>
              </w:rPr>
            </w:pPr>
            <w:r w:rsidRPr="008164EA">
              <w:rPr>
                <w:i/>
                <w:iCs/>
                <w:sz w:val="20"/>
                <w:szCs w:val="20"/>
                <w:u w:val="none"/>
              </w:rPr>
              <w:t>[Provide detail of policy, including the timeline for refund or credit.]</w:t>
            </w:r>
          </w:p>
          <w:p w14:paraId="3E35D550" w14:textId="77777777" w:rsidR="005F4D79" w:rsidRPr="008164EA" w:rsidRDefault="005F4D79" w:rsidP="008E397B">
            <w:pPr>
              <w:ind w:right="180"/>
              <w:jc w:val="both"/>
              <w:rPr>
                <w:i/>
                <w:iCs/>
                <w:sz w:val="20"/>
                <w:szCs w:val="20"/>
                <w:u w:val="none"/>
                <w:vertAlign w:val="subscript"/>
              </w:rPr>
            </w:pPr>
          </w:p>
          <w:p w14:paraId="32452A0A" w14:textId="77777777" w:rsidR="00435AA0" w:rsidRPr="000E1DE0" w:rsidRDefault="00DD5077" w:rsidP="00947225">
            <w:pPr>
              <w:jc w:val="both"/>
              <w:rPr>
                <w:i/>
                <w:iCs/>
                <w:u w:val="none"/>
              </w:rPr>
            </w:pPr>
            <w:r>
              <w:rPr>
                <w:i/>
                <w:iCs/>
                <w:u w:val="none"/>
              </w:rPr>
              <w:fldChar w:fldCharType="begin">
                <w:ffData>
                  <w:name w:val="box99"/>
                  <w:enabled/>
                  <w:calcOnExit/>
                  <w:textInput>
                    <w:maxLength w:val="15000"/>
                  </w:textInput>
                </w:ffData>
              </w:fldChar>
            </w:r>
            <w:bookmarkStart w:id="17" w:name="box99"/>
            <w:r>
              <w:rPr>
                <w:i/>
                <w:iCs/>
                <w:u w:val="none"/>
              </w:rPr>
              <w:instrText xml:space="preserve"> FORMTEXT </w:instrText>
            </w:r>
            <w:r>
              <w:rPr>
                <w:i/>
                <w:iCs/>
                <w:u w:val="none"/>
              </w:rPr>
            </w:r>
            <w:r>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Pr>
                <w:i/>
                <w:iCs/>
                <w:u w:val="none"/>
              </w:rPr>
              <w:fldChar w:fldCharType="end"/>
            </w:r>
            <w:bookmarkEnd w:id="17"/>
          </w:p>
        </w:tc>
      </w:tr>
    </w:tbl>
    <w:p w14:paraId="6FE97678" w14:textId="77777777" w:rsidR="00435AA0" w:rsidRPr="000E1DE0" w:rsidRDefault="00435AA0" w:rsidP="008E397B">
      <w:pPr>
        <w:ind w:right="180"/>
        <w:jc w:val="both"/>
        <w:rPr>
          <w:u w:val="none"/>
        </w:rPr>
      </w:pPr>
    </w:p>
    <w:p w14:paraId="6A72D599" w14:textId="77777777" w:rsidR="00120375" w:rsidRPr="000E1DE0" w:rsidRDefault="00ED3DBE" w:rsidP="00FE0C37">
      <w:pPr>
        <w:pStyle w:val="ListParagraph"/>
        <w:numPr>
          <w:ilvl w:val="0"/>
          <w:numId w:val="13"/>
        </w:numPr>
        <w:tabs>
          <w:tab w:val="left" w:pos="450"/>
        </w:tabs>
        <w:ind w:right="180" w:hanging="720"/>
        <w:jc w:val="both"/>
        <w:rPr>
          <w:b/>
          <w:bCs/>
          <w:sz w:val="28"/>
          <w:szCs w:val="28"/>
          <w:u w:val="none"/>
        </w:rPr>
      </w:pPr>
      <w:r w:rsidRPr="000E1DE0">
        <w:rPr>
          <w:b/>
          <w:bCs/>
          <w:sz w:val="28"/>
          <w:szCs w:val="28"/>
          <w:u w:val="none"/>
        </w:rPr>
        <w:t>Deductions and Expenses</w:t>
      </w:r>
    </w:p>
    <w:p w14:paraId="52794019" w14:textId="77777777" w:rsidR="000F5202" w:rsidRPr="000E1DE0" w:rsidRDefault="000F5202" w:rsidP="008E397B">
      <w:pPr>
        <w:ind w:right="180"/>
        <w:jc w:val="both"/>
        <w:rPr>
          <w:u w:val="none"/>
        </w:rPr>
      </w:pPr>
    </w:p>
    <w:p w14:paraId="109CE00B" w14:textId="77777777" w:rsidR="00DF541F" w:rsidRPr="000E1DE0" w:rsidRDefault="00E72691" w:rsidP="00FE0C37">
      <w:pPr>
        <w:pStyle w:val="ListParagraph"/>
        <w:numPr>
          <w:ilvl w:val="0"/>
          <w:numId w:val="10"/>
        </w:numPr>
        <w:ind w:left="720" w:right="180" w:hanging="450"/>
        <w:rPr>
          <w:b/>
          <w:bCs/>
        </w:rPr>
      </w:pPr>
      <w:r w:rsidRPr="000E1DE0">
        <w:rPr>
          <w:b/>
          <w:bCs/>
        </w:rPr>
        <w:t>Hardship Exemptions for Health/Medical Care Expenses &amp; Reasonable Attendant Care &amp; Auxiliary Apparatus Expenses</w:t>
      </w:r>
    </w:p>
    <w:p w14:paraId="6D4BBB1E" w14:textId="77777777" w:rsidR="000F5202" w:rsidRPr="000E1DE0" w:rsidRDefault="000F5202" w:rsidP="008E397B">
      <w:pPr>
        <w:ind w:right="180"/>
        <w:jc w:val="both"/>
        <w:rPr>
          <w:u w:val="none"/>
        </w:rPr>
      </w:pPr>
    </w:p>
    <w:p w14:paraId="0D5665CA" w14:textId="77777777" w:rsidR="00E27862" w:rsidRPr="000E1DE0" w:rsidRDefault="00E27862" w:rsidP="008E397B">
      <w:pPr>
        <w:ind w:left="720" w:right="180"/>
        <w:jc w:val="both"/>
        <w:rPr>
          <w:u w:val="none"/>
        </w:rPr>
      </w:pPr>
      <w:r w:rsidRPr="000E1DE0">
        <w:rPr>
          <w:u w:val="none"/>
        </w:rPr>
        <w:t xml:space="preserve">Regulations: </w:t>
      </w:r>
      <w:r w:rsidR="0033766B" w:rsidRPr="000E1DE0">
        <w:rPr>
          <w:u w:val="none"/>
        </w:rPr>
        <w:t>24 CFR § 5.611(c)(2)</w:t>
      </w:r>
    </w:p>
    <w:p w14:paraId="468B9B79" w14:textId="77777777" w:rsidR="0033766B" w:rsidRPr="000E1DE0" w:rsidRDefault="0033766B" w:rsidP="008E397B">
      <w:pPr>
        <w:ind w:left="720" w:right="180"/>
        <w:jc w:val="both"/>
        <w:rPr>
          <w:b/>
          <w:bCs/>
          <w:u w:val="none"/>
        </w:rPr>
      </w:pPr>
    </w:p>
    <w:p w14:paraId="74D8476C"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2838EB9A" w14:textId="77777777" w:rsidR="00781DDA" w:rsidRPr="000E1DE0" w:rsidRDefault="00781DDA" w:rsidP="008E397B">
      <w:pPr>
        <w:ind w:left="720" w:right="180"/>
        <w:jc w:val="center"/>
        <w:rPr>
          <w:u w:val="none"/>
        </w:rPr>
      </w:pPr>
    </w:p>
    <w:p w14:paraId="2AB3460B" w14:textId="77777777" w:rsidR="001D24A3" w:rsidRPr="000E1DE0" w:rsidRDefault="00007CA8" w:rsidP="008E397B">
      <w:pPr>
        <w:ind w:left="720" w:right="180"/>
        <w:jc w:val="both"/>
        <w:rPr>
          <w:u w:val="none"/>
        </w:rPr>
      </w:pPr>
      <w:r w:rsidRPr="000E1DE0">
        <w:rPr>
          <w:u w:val="none"/>
        </w:rPr>
        <w:t xml:space="preserve">The </w:t>
      </w:r>
      <w:r w:rsidR="001D24A3" w:rsidRPr="000E1DE0">
        <w:rPr>
          <w:u w:val="none"/>
        </w:rPr>
        <w:t xml:space="preserve">Agent must provide hardship relief to a family that demonstrates its eligible unreimbursed health and medical care expenses, or reasonable attendant care and auxiliary apparatus </w:t>
      </w:r>
      <w:r w:rsidR="00B669EB" w:rsidRPr="000E1DE0">
        <w:rPr>
          <w:u w:val="none"/>
        </w:rPr>
        <w:t>expenses exceed</w:t>
      </w:r>
      <w:r w:rsidR="002D38D3" w:rsidRPr="000E1DE0">
        <w:rPr>
          <w:u w:val="none"/>
        </w:rPr>
        <w:t xml:space="preserve"> </w:t>
      </w:r>
      <w:r w:rsidR="001D24A3" w:rsidRPr="000E1DE0">
        <w:rPr>
          <w:u w:val="none"/>
        </w:rPr>
        <w:t xml:space="preserve">5 percent of the family’s annual income. To meet the requirements for the health and medical care expense hardship exemption, the family must have expenses that meet the definition of </w:t>
      </w:r>
      <w:r w:rsidR="001D24A3" w:rsidRPr="000E1DE0">
        <w:rPr>
          <w:u w:val="none"/>
        </w:rPr>
        <w:lastRenderedPageBreak/>
        <w:t>health and medical care expenses as provided by 24 CFR 5.603(b). To meet the requirements for the reasonable attendant care and auxiliary apparatus expenses hardship exemption, the family must have expenses that meet the definition of reasonable attendant care and auxiliary apparatus expenses at 24 CFR 5.603(b).</w:t>
      </w:r>
    </w:p>
    <w:p w14:paraId="3A92D855" w14:textId="77777777" w:rsidR="00804894" w:rsidRPr="000E1DE0" w:rsidRDefault="00804894" w:rsidP="008E397B">
      <w:pPr>
        <w:ind w:left="720" w:right="180"/>
        <w:jc w:val="center"/>
        <w:rPr>
          <w:u w:val="none"/>
        </w:rPr>
      </w:pPr>
    </w:p>
    <w:p w14:paraId="2E820188" w14:textId="77777777" w:rsidR="001D24A3" w:rsidRPr="000E1DE0" w:rsidRDefault="001D24A3" w:rsidP="008E397B">
      <w:pPr>
        <w:ind w:left="720" w:right="180"/>
        <w:jc w:val="both"/>
        <w:rPr>
          <w:u w:val="none"/>
        </w:rPr>
      </w:pPr>
      <w:r w:rsidRPr="000E1DE0">
        <w:rPr>
          <w:u w:val="none"/>
        </w:rPr>
        <w:t>Families may be eligible for relief under one of two categories; phased-in relief or general relief.</w:t>
      </w:r>
      <w:r w:rsidR="00267883" w:rsidRPr="000E1DE0">
        <w:rPr>
          <w:u w:val="none"/>
        </w:rPr>
        <w:t xml:space="preserve"> </w:t>
      </w:r>
      <w:r w:rsidRPr="000E1DE0">
        <w:rPr>
          <w:u w:val="none"/>
        </w:rPr>
        <w:t>A family receiving phased-in relief may request to receive general relief instead; once a family chooses to obtain general relief, a family may no longer receive the phased-in relief</w:t>
      </w:r>
      <w:r w:rsidR="00FB5D90" w:rsidRPr="000E1DE0">
        <w:rPr>
          <w:u w:val="none"/>
        </w:rPr>
        <w:t xml:space="preserve"> </w:t>
      </w:r>
      <w:r w:rsidR="000A0012" w:rsidRPr="000E1DE0">
        <w:rPr>
          <w:u w:val="none"/>
        </w:rPr>
        <w:t>and their expense threshold will increase to 10% once general relief ends</w:t>
      </w:r>
      <w:r w:rsidRPr="000E1DE0">
        <w:rPr>
          <w:u w:val="none"/>
        </w:rPr>
        <w:t>.</w:t>
      </w:r>
    </w:p>
    <w:p w14:paraId="4C819147" w14:textId="77777777" w:rsidR="00FA41D2" w:rsidRPr="000E1DE0" w:rsidRDefault="00FA41D2" w:rsidP="008E397B">
      <w:pPr>
        <w:pStyle w:val="ListParagraph"/>
        <w:ind w:left="1080" w:right="180"/>
        <w:jc w:val="both"/>
        <w:rPr>
          <w:b/>
          <w:bCs/>
          <w:u w:val="none"/>
        </w:rPr>
      </w:pPr>
    </w:p>
    <w:p w14:paraId="21AF2697" w14:textId="77777777" w:rsidR="00DF541F" w:rsidRPr="000E1DE0" w:rsidRDefault="005341BF" w:rsidP="00FE0C37">
      <w:pPr>
        <w:pStyle w:val="ListParagraph"/>
        <w:numPr>
          <w:ilvl w:val="0"/>
          <w:numId w:val="10"/>
        </w:numPr>
        <w:ind w:left="720" w:right="180" w:hanging="450"/>
        <w:rPr>
          <w:b/>
          <w:bCs/>
        </w:rPr>
      </w:pPr>
      <w:r w:rsidRPr="000E1DE0">
        <w:rPr>
          <w:b/>
          <w:bCs/>
        </w:rPr>
        <w:t>Hardship Exemptions for Health/Medical Care Expenses &amp; Reasonable Attendant Care &amp; Auxiliary Apparatus Expenses – Phased-In Relief</w:t>
      </w:r>
    </w:p>
    <w:p w14:paraId="57682182" w14:textId="77777777" w:rsidR="00B837F4" w:rsidRPr="000E1DE0" w:rsidRDefault="00B837F4" w:rsidP="008E397B">
      <w:pPr>
        <w:ind w:left="720" w:right="180"/>
        <w:jc w:val="both"/>
        <w:rPr>
          <w:u w:val="none"/>
        </w:rPr>
      </w:pPr>
    </w:p>
    <w:p w14:paraId="50DA49F9" w14:textId="77777777" w:rsidR="00372CA6" w:rsidRPr="000E1DE0" w:rsidRDefault="00EE70A9" w:rsidP="008E397B">
      <w:pPr>
        <w:ind w:left="720" w:right="180"/>
        <w:jc w:val="both"/>
        <w:rPr>
          <w:u w:val="none"/>
        </w:rPr>
      </w:pPr>
      <w:r w:rsidRPr="000E1DE0">
        <w:rPr>
          <w:u w:val="none"/>
        </w:rPr>
        <w:t>Regulations: 24 CFR § 5.611(c)(1)</w:t>
      </w:r>
    </w:p>
    <w:p w14:paraId="6154B5D0" w14:textId="77777777" w:rsidR="00372CA6" w:rsidRPr="000E1DE0" w:rsidRDefault="00372CA6" w:rsidP="008E397B">
      <w:pPr>
        <w:ind w:right="180"/>
        <w:jc w:val="both"/>
        <w:rPr>
          <w:u w:val="none"/>
        </w:rPr>
      </w:pPr>
    </w:p>
    <w:p w14:paraId="09CFDD09"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065F480A" w14:textId="77777777" w:rsidR="00351772" w:rsidRPr="000E1DE0" w:rsidRDefault="00351772" w:rsidP="008E397B">
      <w:pPr>
        <w:ind w:left="720" w:right="180"/>
        <w:jc w:val="both"/>
        <w:rPr>
          <w:u w:val="none"/>
        </w:rPr>
      </w:pPr>
    </w:p>
    <w:p w14:paraId="105B49BA" w14:textId="77777777" w:rsidR="00DF541F" w:rsidRPr="000E1DE0" w:rsidRDefault="00B837F4" w:rsidP="008E397B">
      <w:pPr>
        <w:ind w:left="720" w:right="180"/>
        <w:jc w:val="both"/>
        <w:rPr>
          <w:u w:val="none"/>
        </w:rPr>
      </w:pPr>
      <w:r w:rsidRPr="000E1DE0">
        <w:rPr>
          <w:u w:val="none"/>
        </w:rPr>
        <w:t>F</w:t>
      </w:r>
      <w:r w:rsidR="00277DD8" w:rsidRPr="000E1DE0">
        <w:rPr>
          <w:u w:val="none"/>
        </w:rPr>
        <w:t xml:space="preserve">amilies who received a deduction for unreimbursed health and medical care and/or reasonable attendant care or auxiliary apparatus expenses based on their most recent income review prior to January 1, 2024, will begin receiving the 24-month phased-in relief at their next annual or interim reexamination, whichever occurs first on or after the date the </w:t>
      </w:r>
      <w:r w:rsidR="00C45251" w:rsidRPr="000E1DE0">
        <w:rPr>
          <w:u w:val="none"/>
        </w:rPr>
        <w:t>Agent</w:t>
      </w:r>
      <w:r w:rsidR="00277DD8" w:rsidRPr="000E1DE0">
        <w:rPr>
          <w:u w:val="none"/>
        </w:rPr>
        <w:t xml:space="preserve"> </w:t>
      </w:r>
      <w:r w:rsidR="002A2899" w:rsidRPr="000E1DE0">
        <w:rPr>
          <w:u w:val="none"/>
        </w:rPr>
        <w:t>implements the phased-in relief.</w:t>
      </w:r>
    </w:p>
    <w:p w14:paraId="192830DA" w14:textId="77777777" w:rsidR="00DF541F" w:rsidRPr="000E1DE0" w:rsidRDefault="00DF541F" w:rsidP="008E397B">
      <w:pPr>
        <w:ind w:left="720" w:right="180"/>
        <w:jc w:val="both"/>
        <w:rPr>
          <w:u w:val="none"/>
        </w:rPr>
      </w:pPr>
    </w:p>
    <w:p w14:paraId="35E6CB3A" w14:textId="77777777" w:rsidR="00E41303" w:rsidRPr="000E1DE0" w:rsidRDefault="00900219" w:rsidP="008E397B">
      <w:pPr>
        <w:ind w:left="720" w:right="180"/>
        <w:jc w:val="both"/>
        <w:rPr>
          <w:u w:val="none"/>
        </w:rPr>
      </w:pPr>
      <w:r w:rsidRPr="000E1DE0">
        <w:rPr>
          <w:u w:val="none"/>
        </w:rPr>
        <w:t>Families who receive phased-in relief will have eligible expenses deducted that exceed 5 percent of annual income for 12 months. Twelve months after the 5 percent phase-in began, families will have eligible expenses deducted that exceed 7.5 percent of annual income for the immediately following 12 months. After the family has completed the 24 months phase-in at the lower thresholds, as described above, the family will remain at the 10 percent threshold, unless the family qualifies for relief under the general hardship relief provision.</w:t>
      </w:r>
    </w:p>
    <w:p w14:paraId="720F341A" w14:textId="77777777" w:rsidR="00351772" w:rsidRPr="000E1DE0" w:rsidRDefault="00351772" w:rsidP="008E397B">
      <w:pPr>
        <w:ind w:left="720" w:right="180"/>
        <w:jc w:val="both"/>
        <w:rPr>
          <w:b/>
          <w:bCs/>
          <w:u w:val="none"/>
        </w:rPr>
      </w:pPr>
    </w:p>
    <w:p w14:paraId="4C4EC6F3" w14:textId="77777777" w:rsidR="00351772" w:rsidRPr="000E1DE0" w:rsidRDefault="00351772" w:rsidP="008E397B">
      <w:pPr>
        <w:ind w:left="720" w:right="180"/>
        <w:jc w:val="both"/>
        <w:rPr>
          <w:b/>
          <w:bCs/>
          <w:u w:val="none"/>
        </w:rPr>
      </w:pPr>
      <w:r w:rsidRPr="000E1DE0">
        <w:rPr>
          <w:b/>
          <w:bCs/>
          <w:u w:val="none"/>
        </w:rPr>
        <w:t>Agent’s Discretionary Policy</w:t>
      </w:r>
    </w:p>
    <w:p w14:paraId="05333BB6" w14:textId="77777777" w:rsidR="00900219" w:rsidRPr="000E1DE0" w:rsidRDefault="00900219" w:rsidP="008E397B">
      <w:pPr>
        <w:ind w:left="720" w:right="180"/>
        <w:jc w:val="both"/>
        <w:rPr>
          <w:u w:val="none"/>
        </w:rPr>
      </w:pPr>
    </w:p>
    <w:p w14:paraId="19866A05" w14:textId="77777777" w:rsidR="00E41303" w:rsidRPr="000E1DE0" w:rsidRDefault="00584EAE" w:rsidP="008E397B">
      <w:pPr>
        <w:ind w:left="720" w:right="180"/>
        <w:jc w:val="both"/>
        <w:rPr>
          <w:u w:val="none"/>
        </w:rPr>
      </w:pPr>
      <w:r w:rsidRPr="000E1DE0">
        <w:rPr>
          <w:u w:val="none"/>
        </w:rPr>
        <w:t>W</w:t>
      </w:r>
      <w:r w:rsidR="00C45251" w:rsidRPr="000E1DE0">
        <w:rPr>
          <w:u w:val="none"/>
        </w:rPr>
        <w:t xml:space="preserve">ill </w:t>
      </w:r>
      <w:r w:rsidR="00CC7A8F" w:rsidRPr="000E1DE0">
        <w:rPr>
          <w:u w:val="none"/>
        </w:rPr>
        <w:t>phased-in relief</w:t>
      </w:r>
      <w:r w:rsidRPr="000E1DE0">
        <w:rPr>
          <w:u w:val="none"/>
        </w:rPr>
        <w:t xml:space="preserve"> be continued</w:t>
      </w:r>
      <w:r w:rsidR="00CC7A8F" w:rsidRPr="000E1DE0">
        <w:rPr>
          <w:u w:val="none"/>
        </w:rPr>
        <w:t xml:space="preserve"> for a new admission who was receiving the phased-in relief at their prior assisted housing at the time that the family is admitted to their current unit</w:t>
      </w:r>
      <w:r w:rsidR="00476E44" w:rsidRPr="000E1DE0">
        <w:rPr>
          <w:u w:val="none"/>
        </w:rPr>
        <w:t>?</w:t>
      </w:r>
      <w:r w:rsidR="00CC7A8F" w:rsidRPr="000E1DE0">
        <w:rPr>
          <w:u w:val="none"/>
        </w:rPr>
        <w:t xml:space="preserve"> </w:t>
      </w:r>
      <w:r w:rsidR="006A5744" w:rsidRPr="000E1DE0">
        <w:rPr>
          <w:i/>
          <w:iCs/>
          <w:u w:val="none"/>
        </w:rPr>
        <w:t>(check as applicable)</w:t>
      </w:r>
    </w:p>
    <w:p w14:paraId="549DFE6F" w14:textId="77777777" w:rsidR="00C61175" w:rsidRPr="000E1DE0" w:rsidRDefault="00C61175" w:rsidP="008E397B">
      <w:pPr>
        <w:ind w:left="720" w:right="180" w:firstLine="720"/>
        <w:jc w:val="both"/>
        <w:rPr>
          <w:u w:val="none"/>
        </w:rPr>
      </w:pPr>
      <w:bookmarkStart w:id="18" w:name="_Hlk152160255"/>
    </w:p>
    <w:p w14:paraId="4C36C024" w14:textId="77777777" w:rsidR="00E41303" w:rsidRPr="000E1DE0" w:rsidRDefault="00962582" w:rsidP="008E397B">
      <w:pPr>
        <w:ind w:left="900" w:right="180"/>
        <w:jc w:val="both"/>
        <w:rPr>
          <w:u w:val="none"/>
        </w:rPr>
      </w:pPr>
      <w:sdt>
        <w:sdtPr>
          <w:rPr>
            <w:u w:val="none"/>
          </w:rPr>
          <w:id w:val="792251489"/>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FC2BB4" w:rsidRPr="000E1DE0">
        <w:rPr>
          <w:u w:val="none"/>
        </w:rPr>
        <w:t>Yes</w:t>
      </w:r>
    </w:p>
    <w:p w14:paraId="6B75FA6B" w14:textId="77777777" w:rsidR="00FC2BB4" w:rsidRPr="000E1DE0" w:rsidRDefault="00962582" w:rsidP="008E397B">
      <w:pPr>
        <w:ind w:left="900" w:right="180"/>
        <w:jc w:val="both"/>
        <w:rPr>
          <w:u w:val="none"/>
        </w:rPr>
      </w:pPr>
      <w:sdt>
        <w:sdtPr>
          <w:rPr>
            <w:u w:val="none"/>
          </w:rPr>
          <w:id w:val="-565263075"/>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FC2BB4" w:rsidRPr="000E1DE0">
        <w:rPr>
          <w:u w:val="none"/>
        </w:rPr>
        <w:t>No</w:t>
      </w:r>
    </w:p>
    <w:bookmarkEnd w:id="18"/>
    <w:p w14:paraId="2814D6CE" w14:textId="77777777" w:rsidR="00536B50" w:rsidRPr="000E1DE0" w:rsidRDefault="00536B50" w:rsidP="008E397B">
      <w:pPr>
        <w:ind w:left="720" w:right="180"/>
        <w:jc w:val="center"/>
        <w:rPr>
          <w:u w:val="none"/>
        </w:rPr>
      </w:pPr>
    </w:p>
    <w:p w14:paraId="42816119" w14:textId="77777777" w:rsidR="007A3CB0" w:rsidRPr="000E1DE0" w:rsidRDefault="007A3CB0" w:rsidP="00FE0C37">
      <w:pPr>
        <w:pStyle w:val="ListParagraph"/>
        <w:numPr>
          <w:ilvl w:val="0"/>
          <w:numId w:val="10"/>
        </w:numPr>
        <w:ind w:left="720" w:right="180" w:hanging="450"/>
        <w:jc w:val="both"/>
        <w:rPr>
          <w:b/>
          <w:bCs/>
        </w:rPr>
      </w:pPr>
      <w:r w:rsidRPr="000E1DE0">
        <w:rPr>
          <w:b/>
          <w:bCs/>
        </w:rPr>
        <w:t>General Relief</w:t>
      </w:r>
      <w:r w:rsidR="00C35B19" w:rsidRPr="000E1DE0">
        <w:rPr>
          <w:b/>
          <w:bCs/>
        </w:rPr>
        <w:t xml:space="preserve">  </w:t>
      </w:r>
    </w:p>
    <w:p w14:paraId="7876C1C3" w14:textId="77777777" w:rsidR="007A3CB0" w:rsidRPr="000E1DE0" w:rsidRDefault="007A3CB0" w:rsidP="008E397B">
      <w:pPr>
        <w:ind w:left="720" w:right="180"/>
        <w:jc w:val="both"/>
        <w:rPr>
          <w:u w:val="none"/>
        </w:rPr>
      </w:pPr>
    </w:p>
    <w:p w14:paraId="7EF45331"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7E287AA7" w14:textId="77777777" w:rsidR="00351772" w:rsidRPr="000E1DE0" w:rsidRDefault="00351772" w:rsidP="008E397B">
      <w:pPr>
        <w:ind w:left="720" w:right="180"/>
        <w:jc w:val="both"/>
        <w:rPr>
          <w:u w:val="none"/>
        </w:rPr>
      </w:pPr>
    </w:p>
    <w:p w14:paraId="71F6629C" w14:textId="77777777" w:rsidR="007A3CB0" w:rsidRPr="000E1DE0" w:rsidRDefault="007A3CB0" w:rsidP="008E397B">
      <w:pPr>
        <w:ind w:left="720" w:right="180"/>
        <w:jc w:val="both"/>
        <w:rPr>
          <w:u w:val="none"/>
        </w:rPr>
      </w:pPr>
      <w:r w:rsidRPr="000E1DE0">
        <w:rPr>
          <w:u w:val="none"/>
        </w:rPr>
        <w:lastRenderedPageBreak/>
        <w:t xml:space="preserve">To receive general relief, a family must demonstrate that the family’s unreimbursed health and medical care expenses or unreimbursed reasonable attendant care and auxiliary apparatus expenses increased, or the family’s financial hardship is a result of a change in circumstances that would not otherwise trigger an interim reexamination. </w:t>
      </w:r>
    </w:p>
    <w:p w14:paraId="1431E3F3" w14:textId="77777777" w:rsidR="007A3CB0" w:rsidRPr="000E1DE0" w:rsidRDefault="007A3CB0" w:rsidP="008E397B">
      <w:pPr>
        <w:ind w:left="720" w:right="180"/>
        <w:jc w:val="both"/>
        <w:rPr>
          <w:u w:val="none"/>
        </w:rPr>
      </w:pPr>
    </w:p>
    <w:p w14:paraId="59029CB2" w14:textId="77777777" w:rsidR="00184782" w:rsidRPr="000E1DE0" w:rsidRDefault="007A3CB0" w:rsidP="008E397B">
      <w:pPr>
        <w:ind w:left="720" w:right="180"/>
        <w:jc w:val="both"/>
        <w:rPr>
          <w:u w:val="none"/>
        </w:rPr>
      </w:pPr>
      <w:r w:rsidRPr="000E1DE0">
        <w:rPr>
          <w:u w:val="none"/>
        </w:rPr>
        <w:t>Relief is available regardless of whether the family previously received an unreimbursed health and medical care expense deduction, unreimbursed reasonable attendant care and auxiliary apparatus expense deduction, are currently receiving phased-in hardship relief, or were previously eligible for either this general relief or the phased-in relief.</w:t>
      </w:r>
    </w:p>
    <w:p w14:paraId="54423413" w14:textId="77777777" w:rsidR="007A3CB0" w:rsidRPr="000E1DE0" w:rsidRDefault="007A3CB0" w:rsidP="008E397B">
      <w:pPr>
        <w:ind w:right="180"/>
        <w:jc w:val="both"/>
        <w:rPr>
          <w:u w:val="none"/>
        </w:rPr>
      </w:pPr>
      <w:r w:rsidRPr="000E1DE0">
        <w:rPr>
          <w:u w:val="none"/>
        </w:rPr>
        <w:t xml:space="preserve"> </w:t>
      </w:r>
    </w:p>
    <w:p w14:paraId="0AD4ADD3" w14:textId="77777777" w:rsidR="007A3CB0" w:rsidRPr="000E1DE0" w:rsidRDefault="00541AB2" w:rsidP="008E397B">
      <w:pPr>
        <w:ind w:left="720" w:right="180"/>
        <w:jc w:val="both"/>
        <w:rPr>
          <w:u w:val="none"/>
        </w:rPr>
      </w:pPr>
      <w:r w:rsidRPr="000E1DE0">
        <w:rPr>
          <w:u w:val="none"/>
        </w:rPr>
        <w:t xml:space="preserve">If </w:t>
      </w:r>
      <w:r w:rsidR="00813F23" w:rsidRPr="000E1DE0">
        <w:rPr>
          <w:u w:val="none"/>
        </w:rPr>
        <w:t xml:space="preserve">the </w:t>
      </w:r>
      <w:r w:rsidR="00C45251" w:rsidRPr="000E1DE0">
        <w:rPr>
          <w:u w:val="none"/>
        </w:rPr>
        <w:t>Agent</w:t>
      </w:r>
      <w:r w:rsidRPr="000E1DE0">
        <w:rPr>
          <w:u w:val="none"/>
        </w:rPr>
        <w:t xml:space="preserve"> determines that a family is eligible for general relief, the family will receive a deduction for the sum of the eligible expenses that exceed 5 percent of annual income. The family’s hardship relief ends when the circumstances that made the family eligible for the relief are no longer applicable or after 90 days, whichever comes earlier. </w:t>
      </w:r>
    </w:p>
    <w:p w14:paraId="1C1D20DE" w14:textId="77777777" w:rsidR="002D7DD6" w:rsidRPr="000E1DE0" w:rsidRDefault="002D7DD6" w:rsidP="008E397B">
      <w:pPr>
        <w:ind w:left="720" w:right="180"/>
        <w:jc w:val="both"/>
        <w:rPr>
          <w:u w:val="none"/>
        </w:rPr>
      </w:pPr>
    </w:p>
    <w:p w14:paraId="24829461" w14:textId="77777777" w:rsidR="002D7DD6" w:rsidRPr="000E1DE0" w:rsidRDefault="00813F23" w:rsidP="008E397B">
      <w:pPr>
        <w:ind w:left="720" w:right="180"/>
        <w:jc w:val="both"/>
        <w:rPr>
          <w:u w:val="none"/>
        </w:rPr>
      </w:pPr>
      <w:bookmarkStart w:id="19" w:name="_Hlk158308585"/>
      <w:r w:rsidRPr="000E1DE0">
        <w:rPr>
          <w:u w:val="none"/>
        </w:rPr>
        <w:t xml:space="preserve">The </w:t>
      </w:r>
      <w:r w:rsidR="002D7DD6" w:rsidRPr="000E1DE0">
        <w:rPr>
          <w:u w:val="none"/>
        </w:rPr>
        <w:t>Agent must promptly notify families in writing of the change in the determination of adjusted income and the family’s rent resulting from the application of the hardship exemption. The written notice must also inform the family of the dates that the hardship exemption will begin and expire</w:t>
      </w:r>
      <w:r w:rsidR="00267883" w:rsidRPr="000E1DE0">
        <w:rPr>
          <w:u w:val="none"/>
        </w:rPr>
        <w:t xml:space="preserve"> </w:t>
      </w:r>
      <w:r w:rsidR="002D7DD6" w:rsidRPr="000E1DE0">
        <w:rPr>
          <w:u w:val="none"/>
        </w:rPr>
        <w:t>and the requirement for the family to report to the Agent if the circumstances that made the family eligible for relief are no longer applicable. The notice must also state that the family’s adjusted income and tenant rent will be recalculated upon expiration of the hardship exemption. The Agent</w:t>
      </w:r>
      <w:r w:rsidR="00267883" w:rsidRPr="000E1DE0">
        <w:rPr>
          <w:u w:val="none"/>
        </w:rPr>
        <w:t xml:space="preserve"> </w:t>
      </w:r>
      <w:r w:rsidR="002D7DD6" w:rsidRPr="000E1DE0">
        <w:rPr>
          <w:u w:val="none"/>
        </w:rPr>
        <w:t>must provide families 30 days’ notice of any increase in rent.</w:t>
      </w:r>
    </w:p>
    <w:p w14:paraId="40831BC3" w14:textId="77777777" w:rsidR="002D7DD6" w:rsidRPr="000E1DE0" w:rsidRDefault="002D7DD6" w:rsidP="008E397B">
      <w:pPr>
        <w:ind w:left="720" w:right="180"/>
        <w:jc w:val="both"/>
        <w:rPr>
          <w:u w:val="none"/>
        </w:rPr>
      </w:pPr>
      <w:r w:rsidRPr="000E1DE0">
        <w:rPr>
          <w:u w:val="none"/>
        </w:rPr>
        <w:t xml:space="preserve"> </w:t>
      </w:r>
    </w:p>
    <w:p w14:paraId="00CCEF78" w14:textId="77777777" w:rsidR="002D7DD6" w:rsidRPr="000E1DE0" w:rsidRDefault="00813F23" w:rsidP="008E397B">
      <w:pPr>
        <w:ind w:left="720" w:right="180"/>
        <w:jc w:val="both"/>
        <w:rPr>
          <w:u w:val="none"/>
        </w:rPr>
      </w:pPr>
      <w:r w:rsidRPr="000E1DE0">
        <w:rPr>
          <w:u w:val="none"/>
        </w:rPr>
        <w:t xml:space="preserve">The </w:t>
      </w:r>
      <w:r w:rsidR="002D7DD6" w:rsidRPr="000E1DE0">
        <w:rPr>
          <w:u w:val="none"/>
        </w:rPr>
        <w:t xml:space="preserve">Agent must promptly notify families in writing if they are denied either an initial hardship exemption or an additional 90-day extension of the exemption. The notification must specifically state the reason for the denial. In addition, </w:t>
      </w:r>
      <w:r w:rsidRPr="000E1DE0">
        <w:rPr>
          <w:u w:val="none"/>
        </w:rPr>
        <w:t xml:space="preserve">the </w:t>
      </w:r>
      <w:r w:rsidR="002D7DD6" w:rsidRPr="000E1DE0">
        <w:rPr>
          <w:u w:val="none"/>
        </w:rPr>
        <w:t>Agent must notify the family if the hardship exemption is no longer necessary and will be terminated because the circumstances that made the family eligible for the exemption are no longer applicable. The notice must state the termination date and provide 30 days’ notice of rent increase, if applicable.</w:t>
      </w:r>
    </w:p>
    <w:bookmarkEnd w:id="19"/>
    <w:p w14:paraId="510B8A16" w14:textId="77777777" w:rsidR="007A3CB0" w:rsidRPr="000E1DE0" w:rsidRDefault="007A3CB0" w:rsidP="008E397B">
      <w:pPr>
        <w:ind w:left="720" w:right="180"/>
        <w:jc w:val="both"/>
        <w:rPr>
          <w:u w:val="none"/>
        </w:rPr>
      </w:pPr>
    </w:p>
    <w:p w14:paraId="42BD5060" w14:textId="77777777" w:rsidR="00351772" w:rsidRPr="000E1DE0" w:rsidRDefault="00351772" w:rsidP="008E397B">
      <w:pPr>
        <w:ind w:left="720" w:right="180"/>
        <w:jc w:val="both"/>
        <w:rPr>
          <w:b/>
          <w:bCs/>
          <w:u w:val="none"/>
        </w:rPr>
      </w:pPr>
      <w:r w:rsidRPr="000E1DE0">
        <w:rPr>
          <w:b/>
          <w:bCs/>
          <w:u w:val="none"/>
        </w:rPr>
        <w:t>Agent’s Discretionary Policy</w:t>
      </w:r>
    </w:p>
    <w:p w14:paraId="73C144C5" w14:textId="77777777" w:rsidR="00351772" w:rsidRPr="000E1DE0" w:rsidRDefault="00351772" w:rsidP="008E397B">
      <w:pPr>
        <w:ind w:left="720" w:right="180"/>
        <w:jc w:val="both"/>
        <w:rPr>
          <w:u w:val="none"/>
        </w:rPr>
      </w:pPr>
    </w:p>
    <w:p w14:paraId="587827DC" w14:textId="77777777" w:rsidR="002D7DD6" w:rsidRPr="000E1DE0" w:rsidRDefault="002D7DD6" w:rsidP="008E397B">
      <w:pPr>
        <w:ind w:left="720" w:right="180"/>
        <w:jc w:val="both"/>
        <w:rPr>
          <w:u w:val="none"/>
        </w:rPr>
      </w:pPr>
      <w:r w:rsidRPr="000E1DE0">
        <w:rPr>
          <w:u w:val="none"/>
        </w:rPr>
        <w:t>What constitutes a hardship, which includes the family’s inability to pay rent, for the purposes of the general hardship exemption</w:t>
      </w:r>
      <w:r w:rsidR="00476E44" w:rsidRPr="000E1DE0">
        <w:rPr>
          <w:u w:val="none"/>
        </w:rPr>
        <w:t>?</w:t>
      </w:r>
    </w:p>
    <w:p w14:paraId="149E0B26" w14:textId="77777777" w:rsidR="00E273BC" w:rsidRPr="000E1DE0" w:rsidRDefault="00E273BC" w:rsidP="008E397B">
      <w:pPr>
        <w:ind w:left="720" w:right="180"/>
        <w:jc w:val="both"/>
        <w:rPr>
          <w:u w:val="none"/>
        </w:rPr>
      </w:pPr>
    </w:p>
    <w:bookmarkStart w:id="20" w:name="_Hlk162858256"/>
    <w:bookmarkStart w:id="21" w:name="_Hlk158305649"/>
    <w:p w14:paraId="0E1E7DAF" w14:textId="77777777" w:rsidR="002D7DD6" w:rsidRPr="000E1DE0" w:rsidRDefault="00962582" w:rsidP="008E397B">
      <w:pPr>
        <w:ind w:left="1440" w:right="180" w:hanging="450"/>
        <w:jc w:val="both"/>
        <w:rPr>
          <w:u w:val="none"/>
        </w:rPr>
      </w:pPr>
      <w:sdt>
        <w:sdtPr>
          <w:rPr>
            <w:u w:val="none"/>
          </w:rPr>
          <w:id w:val="-1487088161"/>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D44F75" w:rsidRPr="000E1DE0">
        <w:rPr>
          <w:u w:val="none"/>
        </w:rPr>
        <w:t xml:space="preserve"> </w:t>
      </w:r>
      <w:r w:rsidR="00A37DA1" w:rsidRPr="000E1DE0">
        <w:rPr>
          <w:u w:val="none"/>
        </w:rPr>
        <w:tab/>
      </w:r>
      <w:bookmarkEnd w:id="20"/>
      <w:r w:rsidR="002D7DD6" w:rsidRPr="000E1DE0">
        <w:rPr>
          <w:u w:val="none"/>
        </w:rPr>
        <w:t xml:space="preserve">Total rent, utility payment, childcare expenses or health and medical expenses is more than 45 percent of the family’s adjusted income.      </w:t>
      </w:r>
    </w:p>
    <w:p w14:paraId="42C863FD" w14:textId="77777777" w:rsidR="0042691F" w:rsidRPr="000E1DE0" w:rsidRDefault="00962582" w:rsidP="008E397B">
      <w:pPr>
        <w:ind w:left="1440" w:right="180" w:hanging="450"/>
        <w:jc w:val="both"/>
        <w:rPr>
          <w:u w:val="none"/>
        </w:rPr>
      </w:pPr>
      <w:sdt>
        <w:sdtPr>
          <w:rPr>
            <w:u w:val="none"/>
          </w:rPr>
          <w:id w:val="1804428198"/>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D44F75" w:rsidRPr="000E1DE0">
        <w:rPr>
          <w:u w:val="none"/>
        </w:rPr>
        <w:t xml:space="preserve"> </w:t>
      </w:r>
      <w:r w:rsidR="00A37DA1" w:rsidRPr="000E1DE0">
        <w:rPr>
          <w:u w:val="none"/>
        </w:rPr>
        <w:tab/>
      </w:r>
      <w:r w:rsidR="002D7DD6" w:rsidRPr="000E1DE0">
        <w:rPr>
          <w:u w:val="none"/>
        </w:rPr>
        <w:t>The family has experienced unanticipated expenses, such as large medical bills, that have affected their ability to pay their rent.</w:t>
      </w:r>
    </w:p>
    <w:p w14:paraId="1CB0AA58" w14:textId="77777777" w:rsidR="002D7DD6" w:rsidRPr="000E1DE0" w:rsidRDefault="00962582" w:rsidP="008E397B">
      <w:pPr>
        <w:ind w:left="1440" w:right="180" w:hanging="450"/>
        <w:jc w:val="both"/>
        <w:rPr>
          <w:u w:val="none"/>
        </w:rPr>
      </w:pPr>
      <w:sdt>
        <w:sdtPr>
          <w:rPr>
            <w:u w:val="none"/>
          </w:rPr>
          <w:id w:val="-1290965564"/>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D44F75" w:rsidRPr="000E1DE0">
        <w:rPr>
          <w:u w:val="none"/>
        </w:rPr>
        <w:t xml:space="preserve"> </w:t>
      </w:r>
      <w:r w:rsidR="00A37DA1" w:rsidRPr="000E1DE0">
        <w:rPr>
          <w:u w:val="none"/>
        </w:rPr>
        <w:tab/>
      </w:r>
      <w:r w:rsidR="002D7DD6" w:rsidRPr="000E1DE0">
        <w:rPr>
          <w:u w:val="none"/>
        </w:rPr>
        <w:t xml:space="preserve">The family is awaiting an eligibility determination for a federal, state, or </w:t>
      </w:r>
      <w:r w:rsidR="002D7DD6" w:rsidRPr="000E1DE0">
        <w:rPr>
          <w:u w:val="none"/>
        </w:rPr>
        <w:lastRenderedPageBreak/>
        <w:t>local assistance program, such as a determination for unemployment compensation</w:t>
      </w:r>
      <w:r w:rsidR="00D926FC" w:rsidRPr="000E1DE0">
        <w:rPr>
          <w:u w:val="none"/>
        </w:rPr>
        <w:t xml:space="preserve"> </w:t>
      </w:r>
      <w:r w:rsidR="002D7DD6" w:rsidRPr="000E1DE0">
        <w:rPr>
          <w:u w:val="none"/>
        </w:rPr>
        <w:t>or disability benefits.</w:t>
      </w:r>
    </w:p>
    <w:p w14:paraId="4083A5BF" w14:textId="77777777" w:rsidR="002D7DD6" w:rsidRPr="000E1DE0" w:rsidRDefault="00962582" w:rsidP="008E397B">
      <w:pPr>
        <w:ind w:left="1440" w:right="180" w:hanging="450"/>
        <w:jc w:val="both"/>
        <w:rPr>
          <w:u w:val="none"/>
        </w:rPr>
      </w:pPr>
      <w:sdt>
        <w:sdtPr>
          <w:rPr>
            <w:u w:val="none"/>
          </w:rPr>
          <w:id w:val="-344720426"/>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A37DA1" w:rsidRPr="000E1DE0">
        <w:rPr>
          <w:u w:val="none"/>
        </w:rPr>
        <w:tab/>
      </w:r>
      <w:r w:rsidR="002D7DD6" w:rsidRPr="000E1DE0">
        <w:rPr>
          <w:u w:val="none"/>
        </w:rPr>
        <w:t>The family’s income decreased because of a loss of employment, death of a family member, or due to a natural or federal/state declared disaster.</w:t>
      </w:r>
    </w:p>
    <w:p w14:paraId="157A5792" w14:textId="77777777" w:rsidR="002D7DD6" w:rsidRPr="000E1DE0" w:rsidRDefault="00962582" w:rsidP="008E397B">
      <w:pPr>
        <w:ind w:left="1440" w:right="180" w:hanging="450"/>
        <w:jc w:val="both"/>
        <w:rPr>
          <w:u w:val="none"/>
        </w:rPr>
      </w:pPr>
      <w:sdt>
        <w:sdtPr>
          <w:rPr>
            <w:u w:val="none"/>
          </w:rPr>
          <w:id w:val="2099526561"/>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D44F75" w:rsidRPr="000E1DE0">
        <w:rPr>
          <w:u w:val="none"/>
        </w:rPr>
        <w:t xml:space="preserve"> </w:t>
      </w:r>
      <w:r w:rsidR="00A37DA1" w:rsidRPr="000E1DE0">
        <w:rPr>
          <w:u w:val="none"/>
        </w:rPr>
        <w:tab/>
      </w:r>
      <w:r w:rsidR="002D7DD6" w:rsidRPr="000E1DE0">
        <w:rPr>
          <w:u w:val="none"/>
        </w:rPr>
        <w:t xml:space="preserve">Other: </w:t>
      </w:r>
      <w:r w:rsidR="002D7DD6" w:rsidRPr="000E1DE0">
        <w:rPr>
          <w:i/>
          <w:iCs/>
          <w:u w:val="none"/>
        </w:rPr>
        <w:t>Provide detail below</w:t>
      </w:r>
      <w:r w:rsidR="00561EA1" w:rsidRPr="000E1DE0">
        <w:rPr>
          <w:i/>
          <w:iCs/>
          <w:u w:val="none"/>
        </w:rPr>
        <w:t>.</w:t>
      </w:r>
    </w:p>
    <w:bookmarkEnd w:id="21"/>
    <w:p w14:paraId="117E44F3" w14:textId="77777777" w:rsidR="002D7DD6" w:rsidRPr="000E1DE0" w:rsidRDefault="002D7DD6" w:rsidP="008E397B">
      <w:pPr>
        <w:ind w:left="720" w:right="180"/>
        <w:jc w:val="both"/>
        <w:rPr>
          <w:u w:val="none"/>
        </w:rPr>
      </w:pPr>
    </w:p>
    <w:p w14:paraId="3427C7A4" w14:textId="77777777" w:rsidR="00B669EB" w:rsidRPr="000E1DE0" w:rsidRDefault="00565059" w:rsidP="008E397B">
      <w:pPr>
        <w:ind w:left="720" w:right="180"/>
        <w:jc w:val="both"/>
        <w:rPr>
          <w:u w:val="none"/>
        </w:rPr>
      </w:pPr>
      <w:r w:rsidRPr="000E1DE0">
        <w:rPr>
          <w:u w:val="none"/>
        </w:rPr>
        <w:t xml:space="preserve">What constitutes a hardship, which includes the family’s inability to pay rent, for the purposes of the </w:t>
      </w:r>
      <w:r w:rsidR="006F49CB" w:rsidRPr="000E1DE0">
        <w:rPr>
          <w:u w:val="none"/>
        </w:rPr>
        <w:t>general</w:t>
      </w:r>
      <w:r w:rsidRPr="000E1DE0">
        <w:rPr>
          <w:u w:val="none"/>
        </w:rPr>
        <w:t xml:space="preserve"> hardship exemption</w:t>
      </w:r>
      <w:r w:rsidR="00476E44" w:rsidRPr="000E1DE0">
        <w:rPr>
          <w:u w:val="none"/>
        </w:rPr>
        <w:t>?</w:t>
      </w:r>
    </w:p>
    <w:p w14:paraId="75229C3E" w14:textId="77777777" w:rsidR="000E4A36" w:rsidRPr="000E1DE0" w:rsidRDefault="000E4A36" w:rsidP="008E397B">
      <w:pPr>
        <w:ind w:left="720" w:right="180"/>
        <w:jc w:val="both"/>
        <w:rPr>
          <w:u w:val="none"/>
        </w:rPr>
      </w:pPr>
    </w:p>
    <w:tbl>
      <w:tblPr>
        <w:tblStyle w:val="TableGrid"/>
        <w:tblW w:w="4521" w:type="pct"/>
        <w:tblInd w:w="720" w:type="dxa"/>
        <w:tblCellMar>
          <w:top w:w="115" w:type="dxa"/>
          <w:bottom w:w="115" w:type="dxa"/>
        </w:tblCellMar>
        <w:tblLook w:val="04A0" w:firstRow="1" w:lastRow="0" w:firstColumn="1" w:lastColumn="0" w:noHBand="0" w:noVBand="1"/>
      </w:tblPr>
      <w:tblGrid>
        <w:gridCol w:w="8454"/>
      </w:tblGrid>
      <w:tr w:rsidR="00435AA0" w:rsidRPr="000E1DE0" w14:paraId="25106C18" w14:textId="77777777" w:rsidTr="008D1E9F">
        <w:trPr>
          <w:trHeight w:val="791"/>
        </w:trPr>
        <w:tc>
          <w:tcPr>
            <w:tcW w:w="5000" w:type="pct"/>
          </w:tcPr>
          <w:p w14:paraId="4BD0E32B" w14:textId="77777777" w:rsidR="005F4D79" w:rsidRPr="008164EA" w:rsidRDefault="005F4D79" w:rsidP="008E397B">
            <w:pPr>
              <w:ind w:right="180"/>
              <w:rPr>
                <w:i/>
                <w:iCs/>
                <w:sz w:val="20"/>
                <w:szCs w:val="20"/>
                <w:u w:val="none"/>
              </w:rPr>
            </w:pPr>
            <w:r w:rsidRPr="008164EA">
              <w:rPr>
                <w:i/>
                <w:iCs/>
                <w:sz w:val="20"/>
                <w:szCs w:val="20"/>
                <w:u w:val="none"/>
              </w:rPr>
              <w:t>[Define hardship.]</w:t>
            </w:r>
          </w:p>
          <w:p w14:paraId="27A7D126" w14:textId="77777777" w:rsidR="005F4D79" w:rsidRPr="008164EA" w:rsidRDefault="005F4D79" w:rsidP="00947225">
            <w:pPr>
              <w:jc w:val="both"/>
              <w:rPr>
                <w:i/>
                <w:iCs/>
                <w:sz w:val="20"/>
                <w:szCs w:val="20"/>
                <w:u w:val="none"/>
              </w:rPr>
            </w:pPr>
          </w:p>
          <w:p w14:paraId="6C0F6130" w14:textId="77777777" w:rsidR="00435AA0" w:rsidRPr="000E1DE0" w:rsidRDefault="00435AA0" w:rsidP="009471B8">
            <w:pPr>
              <w:jc w:val="both"/>
              <w:rPr>
                <w:i/>
                <w:iCs/>
                <w:u w:val="none"/>
              </w:rPr>
            </w:pPr>
            <w:r w:rsidRPr="000E1DE0">
              <w:rPr>
                <w:i/>
                <w:iCs/>
                <w:u w:val="none"/>
              </w:rPr>
              <w:fldChar w:fldCharType="begin">
                <w:ffData>
                  <w:name w:val="box4"/>
                  <w:enabled/>
                  <w:calcOnExit/>
                  <w:textInput>
                    <w:maxLength w:val="15000"/>
                  </w:textInput>
                </w:ffData>
              </w:fldChar>
            </w:r>
            <w:bookmarkStart w:id="22" w:name="box4"/>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22"/>
          </w:p>
        </w:tc>
      </w:tr>
    </w:tbl>
    <w:p w14:paraId="020F9FBA" w14:textId="77777777" w:rsidR="00435AA0" w:rsidRPr="000E1DE0" w:rsidRDefault="00435AA0" w:rsidP="008E397B">
      <w:pPr>
        <w:ind w:left="720" w:right="180"/>
        <w:jc w:val="both"/>
        <w:rPr>
          <w:u w:val="none"/>
        </w:rPr>
      </w:pPr>
    </w:p>
    <w:p w14:paraId="2C6F4F3B" w14:textId="77777777" w:rsidR="00D36767" w:rsidRPr="000E1DE0" w:rsidRDefault="00D36767" w:rsidP="008E397B">
      <w:pPr>
        <w:ind w:left="720" w:right="180"/>
        <w:jc w:val="both"/>
        <w:rPr>
          <w:u w:val="none"/>
        </w:rPr>
      </w:pPr>
      <w:r w:rsidRPr="000E1DE0">
        <w:rPr>
          <w:u w:val="none"/>
        </w:rPr>
        <w:t xml:space="preserve">Are extensions of the 90-day hardship period allowable? </w:t>
      </w:r>
      <w:r w:rsidRPr="000E1DE0">
        <w:rPr>
          <w:i/>
          <w:iCs/>
          <w:u w:val="none"/>
        </w:rPr>
        <w:t>(check as applicable)</w:t>
      </w:r>
    </w:p>
    <w:p w14:paraId="453F47CD" w14:textId="77777777" w:rsidR="00D36767" w:rsidRPr="000E1DE0" w:rsidRDefault="00D36767" w:rsidP="008E397B">
      <w:pPr>
        <w:ind w:left="1440" w:right="180" w:hanging="450"/>
        <w:jc w:val="both"/>
        <w:rPr>
          <w:u w:val="none"/>
        </w:rPr>
      </w:pPr>
    </w:p>
    <w:p w14:paraId="27B26B40" w14:textId="77777777" w:rsidR="00D36767" w:rsidRPr="000E1DE0" w:rsidRDefault="00962582" w:rsidP="008E397B">
      <w:pPr>
        <w:ind w:left="1440" w:right="180" w:hanging="450"/>
        <w:jc w:val="both"/>
        <w:rPr>
          <w:u w:val="none"/>
        </w:rPr>
      </w:pPr>
      <w:sdt>
        <w:sdtPr>
          <w:rPr>
            <w:u w:val="none"/>
          </w:rPr>
          <w:id w:val="570621277"/>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D36767" w:rsidRPr="000E1DE0">
        <w:rPr>
          <w:u w:val="none"/>
        </w:rPr>
        <w:tab/>
        <w:t>No</w:t>
      </w:r>
    </w:p>
    <w:p w14:paraId="02C93FAF" w14:textId="2996D746" w:rsidR="00721F67" w:rsidRPr="000E1DE0" w:rsidRDefault="00962582" w:rsidP="004D5F57">
      <w:pPr>
        <w:ind w:left="1440" w:right="180" w:hanging="450"/>
        <w:jc w:val="both"/>
        <w:rPr>
          <w:u w:val="none"/>
        </w:rPr>
      </w:pPr>
      <w:sdt>
        <w:sdtPr>
          <w:rPr>
            <w:u w:val="none"/>
          </w:rPr>
          <w:id w:val="1729649713"/>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D44F75" w:rsidRPr="000E1DE0">
        <w:rPr>
          <w:u w:val="none"/>
        </w:rPr>
        <w:tab/>
      </w:r>
      <w:r w:rsidR="00487C7D" w:rsidRPr="000E1DE0">
        <w:rPr>
          <w:u w:val="none"/>
        </w:rPr>
        <w:t xml:space="preserve">Yes, if yes, what is the maximum number of 90-day extensions families </w:t>
      </w:r>
      <w:r w:rsidR="009559AC" w:rsidRPr="000E1DE0">
        <w:rPr>
          <w:u w:val="none"/>
        </w:rPr>
        <w:t xml:space="preserve">may </w:t>
      </w:r>
      <w:r w:rsidR="00487C7D" w:rsidRPr="000E1DE0">
        <w:rPr>
          <w:u w:val="none"/>
        </w:rPr>
        <w:t>receive?</w:t>
      </w:r>
      <w:r w:rsidR="000E1DE0">
        <w:rPr>
          <w:u w:val="none"/>
        </w:rPr>
        <w:t xml:space="preserve"> </w:t>
      </w:r>
      <w:bookmarkStart w:id="23" w:name="_Hlk158370807"/>
      <w:r w:rsidR="00F44C63" w:rsidRPr="000E1DE0">
        <w:rPr>
          <w14:ligatures w14:val="none"/>
        </w:rPr>
        <w:object w:dxaOrig="1440" w:dyaOrig="1440" w14:anchorId="0FA2B24E">
          <v:shape id="_x0000_i1053" type="#_x0000_t75" style="width:27pt;height:16.5pt" o:ole="">
            <v:imagedata r:id="rId26" o:title=""/>
          </v:shape>
          <w:control r:id="rId27" w:name="TextBox11111111111111112" w:shapeid="_x0000_i1053"/>
        </w:object>
      </w:r>
      <w:r w:rsidR="00EC739D" w:rsidRPr="000E1DE0">
        <w:rPr>
          <w:u w:val="none"/>
        </w:rPr>
        <w:t xml:space="preserve">  </w:t>
      </w:r>
    </w:p>
    <w:bookmarkEnd w:id="23"/>
    <w:p w14:paraId="7D9CD059" w14:textId="77777777" w:rsidR="00721F67" w:rsidRPr="000E1DE0" w:rsidRDefault="00721F67" w:rsidP="008E397B">
      <w:pPr>
        <w:ind w:left="720" w:right="180"/>
        <w:jc w:val="both"/>
        <w:rPr>
          <w:u w:val="none"/>
        </w:rPr>
      </w:pPr>
    </w:p>
    <w:p w14:paraId="03F1D3E2" w14:textId="77777777" w:rsidR="00E41303" w:rsidRPr="000E1DE0" w:rsidRDefault="004F1EC3" w:rsidP="00FE0C37">
      <w:pPr>
        <w:pStyle w:val="ListParagraph"/>
        <w:numPr>
          <w:ilvl w:val="0"/>
          <w:numId w:val="10"/>
        </w:numPr>
        <w:ind w:left="720" w:right="180" w:hanging="450"/>
        <w:jc w:val="both"/>
        <w:rPr>
          <w:b/>
          <w:bCs/>
        </w:rPr>
      </w:pPr>
      <w:r w:rsidRPr="000E1DE0">
        <w:rPr>
          <w:b/>
          <w:bCs/>
        </w:rPr>
        <w:t xml:space="preserve">Hardship Exemption to Continue </w:t>
      </w:r>
      <w:proofErr w:type="gramStart"/>
      <w:r w:rsidRPr="000E1DE0">
        <w:rPr>
          <w:b/>
          <w:bCs/>
        </w:rPr>
        <w:t>Child Care</w:t>
      </w:r>
      <w:proofErr w:type="gramEnd"/>
      <w:r w:rsidRPr="000E1DE0">
        <w:rPr>
          <w:b/>
          <w:bCs/>
        </w:rPr>
        <w:t xml:space="preserve"> Expense Hardship</w:t>
      </w:r>
    </w:p>
    <w:p w14:paraId="6F5A3EB8" w14:textId="77777777" w:rsidR="00FD7D9A" w:rsidRPr="000E1DE0" w:rsidRDefault="00FD7D9A" w:rsidP="008E397B">
      <w:pPr>
        <w:ind w:left="720" w:right="180"/>
        <w:jc w:val="both"/>
        <w:rPr>
          <w:u w:val="none"/>
        </w:rPr>
      </w:pPr>
    </w:p>
    <w:p w14:paraId="74250CD4" w14:textId="77777777" w:rsidR="00297D3E" w:rsidRPr="000E1DE0" w:rsidRDefault="00297D3E" w:rsidP="008E397B">
      <w:pPr>
        <w:ind w:left="720" w:right="180"/>
        <w:jc w:val="both"/>
        <w:rPr>
          <w:u w:val="none"/>
        </w:rPr>
      </w:pPr>
      <w:r w:rsidRPr="000E1DE0">
        <w:rPr>
          <w:u w:val="none"/>
        </w:rPr>
        <w:t xml:space="preserve">Regulation: </w:t>
      </w:r>
      <w:r w:rsidR="003B5725" w:rsidRPr="000E1DE0">
        <w:rPr>
          <w:u w:val="none"/>
        </w:rPr>
        <w:t>24 CFR § 5.611(d)</w:t>
      </w:r>
    </w:p>
    <w:p w14:paraId="4C6A281C" w14:textId="77777777" w:rsidR="003B5725" w:rsidRPr="000E1DE0" w:rsidRDefault="003B5725" w:rsidP="008E397B">
      <w:pPr>
        <w:ind w:left="720" w:right="180"/>
        <w:jc w:val="both"/>
        <w:rPr>
          <w:u w:val="none"/>
        </w:rPr>
      </w:pPr>
    </w:p>
    <w:p w14:paraId="1F91A732"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31C7E7A8" w14:textId="77777777" w:rsidR="00351772" w:rsidRPr="000E1DE0" w:rsidRDefault="00351772" w:rsidP="008E397B">
      <w:pPr>
        <w:ind w:left="720" w:right="180"/>
        <w:jc w:val="both"/>
        <w:rPr>
          <w:i/>
          <w:iCs/>
          <w:u w:val="none"/>
        </w:rPr>
      </w:pPr>
    </w:p>
    <w:p w14:paraId="5D0EDE3D" w14:textId="77777777" w:rsidR="00721F67" w:rsidRPr="000E1DE0" w:rsidRDefault="00721F67" w:rsidP="008E397B">
      <w:pPr>
        <w:ind w:left="720" w:right="180"/>
        <w:jc w:val="both"/>
        <w:rPr>
          <w:u w:val="none"/>
        </w:rPr>
      </w:pPr>
      <w:r w:rsidRPr="000E1DE0">
        <w:rPr>
          <w:u w:val="none"/>
        </w:rPr>
        <w:t xml:space="preserve">Reasonable child-care expenses are expenses for the care of children (including foster children if the unreimbursed child-care expenses are paid from the family’s annual income and not from another source, such as stipend from the child welfare agency), under 13 years of age, when all the following statements are true: </w:t>
      </w:r>
    </w:p>
    <w:p w14:paraId="1E70AB92" w14:textId="77777777" w:rsidR="003D0305" w:rsidRPr="000E1DE0" w:rsidRDefault="003D0305" w:rsidP="008E397B">
      <w:pPr>
        <w:ind w:left="720" w:right="180"/>
        <w:jc w:val="both"/>
        <w:rPr>
          <w:u w:val="none"/>
        </w:rPr>
      </w:pPr>
    </w:p>
    <w:p w14:paraId="6372B89C" w14:textId="77777777" w:rsidR="00721F67" w:rsidRPr="000E1DE0" w:rsidRDefault="00721F67" w:rsidP="00FE0C37">
      <w:pPr>
        <w:pStyle w:val="ListParagraph"/>
        <w:numPr>
          <w:ilvl w:val="0"/>
          <w:numId w:val="3"/>
        </w:numPr>
        <w:ind w:left="1350" w:right="180" w:hanging="270"/>
        <w:jc w:val="both"/>
        <w:rPr>
          <w:u w:val="none"/>
        </w:rPr>
      </w:pPr>
      <w:r w:rsidRPr="000E1DE0">
        <w:rPr>
          <w:u w:val="none"/>
        </w:rPr>
        <w:t xml:space="preserve">The care is necessary to enable a family member to be employed or to further his or her education (e.g., work, look for work, or further their education (academic or vocational)); and </w:t>
      </w:r>
    </w:p>
    <w:p w14:paraId="432117D5" w14:textId="77777777" w:rsidR="00CF1B6D" w:rsidRPr="000E1DE0" w:rsidRDefault="00721F67" w:rsidP="00FE0C37">
      <w:pPr>
        <w:pStyle w:val="ListParagraph"/>
        <w:numPr>
          <w:ilvl w:val="0"/>
          <w:numId w:val="3"/>
        </w:numPr>
        <w:ind w:left="1350" w:right="180" w:hanging="270"/>
        <w:jc w:val="both"/>
        <w:rPr>
          <w:u w:val="none"/>
        </w:rPr>
      </w:pPr>
      <w:r w:rsidRPr="000E1DE0">
        <w:rPr>
          <w:u w:val="none"/>
        </w:rPr>
        <w:t>The expense is not reimbursed by an agency or individual outside the household; and</w:t>
      </w:r>
    </w:p>
    <w:p w14:paraId="679C1414" w14:textId="77777777" w:rsidR="00721F67" w:rsidRPr="000E1DE0" w:rsidRDefault="00721F67" w:rsidP="00FE0C37">
      <w:pPr>
        <w:pStyle w:val="ListParagraph"/>
        <w:numPr>
          <w:ilvl w:val="0"/>
          <w:numId w:val="3"/>
        </w:numPr>
        <w:ind w:left="1350" w:right="180" w:hanging="270"/>
        <w:jc w:val="both"/>
        <w:rPr>
          <w:u w:val="none"/>
        </w:rPr>
      </w:pPr>
      <w:r w:rsidRPr="000E1DE0">
        <w:rPr>
          <w:u w:val="none"/>
        </w:rPr>
        <w:t>The amount deducted must not exceed the amount of employment income that is included in annual income.</w:t>
      </w:r>
    </w:p>
    <w:p w14:paraId="69BB2AF7" w14:textId="77777777" w:rsidR="0042691F" w:rsidRPr="000E1DE0" w:rsidRDefault="0042691F" w:rsidP="008E397B">
      <w:pPr>
        <w:ind w:left="720" w:right="180"/>
        <w:jc w:val="both"/>
        <w:rPr>
          <w:u w:val="none"/>
        </w:rPr>
      </w:pPr>
    </w:p>
    <w:p w14:paraId="4C6C2E8E" w14:textId="77777777" w:rsidR="00721F67" w:rsidRPr="000E1DE0" w:rsidRDefault="00721F67" w:rsidP="008E397B">
      <w:pPr>
        <w:ind w:left="720" w:right="180"/>
        <w:jc w:val="both"/>
        <w:rPr>
          <w:u w:val="none"/>
        </w:rPr>
      </w:pPr>
      <w:r w:rsidRPr="000E1DE0">
        <w:rPr>
          <w:u w:val="none"/>
        </w:rPr>
        <w:t>A family whose eligibility for the child-care expense deduction is ending may receive a hardship exemption to continue receiving a child-care expense deduction in certain circumstances when the family no longer has a member that is working, looking for work, or seeking to further their education, and the deduction is necessary because the family is unable to pay their rent.</w:t>
      </w:r>
    </w:p>
    <w:p w14:paraId="6D42DBD8" w14:textId="77777777" w:rsidR="00721F67" w:rsidRPr="000E1DE0" w:rsidRDefault="00721F67" w:rsidP="008E397B">
      <w:pPr>
        <w:ind w:left="720" w:right="180"/>
        <w:jc w:val="both"/>
        <w:rPr>
          <w:u w:val="none"/>
        </w:rPr>
      </w:pPr>
    </w:p>
    <w:p w14:paraId="38F8DAA4" w14:textId="77777777" w:rsidR="00721F67" w:rsidRPr="000E1DE0" w:rsidRDefault="00721F67" w:rsidP="008E397B">
      <w:pPr>
        <w:ind w:left="720" w:right="180"/>
        <w:jc w:val="both"/>
        <w:rPr>
          <w:u w:val="none"/>
        </w:rPr>
      </w:pPr>
      <w:r w:rsidRPr="000E1DE0">
        <w:rPr>
          <w:u w:val="none"/>
        </w:rPr>
        <w:lastRenderedPageBreak/>
        <w:t>When a family requests a hardship exemption to continue receiving a child-care expense deduction that is ending</w:t>
      </w:r>
      <w:r w:rsidR="00AB319A" w:rsidRPr="000E1DE0">
        <w:rPr>
          <w:u w:val="none"/>
        </w:rPr>
        <w:t xml:space="preserve"> and satisfies the conditions for hardship as defined in the Agent’s policy below</w:t>
      </w:r>
      <w:r w:rsidRPr="000E1DE0">
        <w:rPr>
          <w:u w:val="none"/>
        </w:rPr>
        <w:t>, the Agent must recalculate the family’s adjusted income and continue the child-care deduction if the family demonstrates to the Agent’s satisfaction that the family is unable to pay their rent because of loss of the child-care expense deduction and the child-care expense is still necessary even though the family member is no longer working, looking for work, or furthering their education. The hardship exemption and the resulting alternative adjusted income calculation must remain in place for a period of up to 90 days. The Agent, at their discretion, may extend such hardship exemptions for additional 90-day periods based on family circumstances.</w:t>
      </w:r>
    </w:p>
    <w:p w14:paraId="3DE89215" w14:textId="77777777" w:rsidR="00721F67" w:rsidRPr="000E1DE0" w:rsidRDefault="00721F67" w:rsidP="008E397B">
      <w:pPr>
        <w:ind w:left="720" w:right="180"/>
        <w:jc w:val="both"/>
        <w:rPr>
          <w:u w:val="none"/>
        </w:rPr>
      </w:pPr>
    </w:p>
    <w:p w14:paraId="1E38F491" w14:textId="77777777" w:rsidR="00721F67" w:rsidRPr="000E1DE0" w:rsidRDefault="00187C28" w:rsidP="008E397B">
      <w:pPr>
        <w:ind w:left="720" w:right="180"/>
        <w:jc w:val="both"/>
        <w:rPr>
          <w:u w:val="none"/>
        </w:rPr>
      </w:pPr>
      <w:r w:rsidRPr="000E1DE0">
        <w:rPr>
          <w:u w:val="none"/>
        </w:rPr>
        <w:t xml:space="preserve">The </w:t>
      </w:r>
      <w:r w:rsidR="00721F67" w:rsidRPr="000E1DE0">
        <w:rPr>
          <w:u w:val="none"/>
        </w:rPr>
        <w:t>Agent must promptly notify families in writing of the change in the determination of adjusted income and the family’s rent resulting from the application of the hardship exemption. The written notice must also inform the family of the dates that the hardship exemption will begin and expire</w:t>
      </w:r>
      <w:r w:rsidR="001C339C" w:rsidRPr="000E1DE0">
        <w:rPr>
          <w:u w:val="none"/>
        </w:rPr>
        <w:t xml:space="preserve"> </w:t>
      </w:r>
      <w:r w:rsidR="00721F67" w:rsidRPr="000E1DE0">
        <w:rPr>
          <w:u w:val="none"/>
        </w:rPr>
        <w:t>and the requirement for the family to report to the Agent if the circumstances that made the family eligible for relief are no longer applicable. The notice must also state that the family’s adjusted income and tenant rent will be recalculated upon expiration of the hardship exemption. The Agent</w:t>
      </w:r>
      <w:r w:rsidR="001C339C" w:rsidRPr="000E1DE0">
        <w:rPr>
          <w:u w:val="none"/>
        </w:rPr>
        <w:t xml:space="preserve"> </w:t>
      </w:r>
      <w:r w:rsidR="00721F67" w:rsidRPr="000E1DE0">
        <w:rPr>
          <w:u w:val="none"/>
        </w:rPr>
        <w:t>must provide families 30 days’ notice of any increase in rent.</w:t>
      </w:r>
    </w:p>
    <w:p w14:paraId="0A0B165A" w14:textId="77777777" w:rsidR="00721F67" w:rsidRPr="000E1DE0" w:rsidRDefault="00721F67" w:rsidP="008E397B">
      <w:pPr>
        <w:ind w:left="720" w:right="180"/>
        <w:jc w:val="both"/>
        <w:rPr>
          <w:u w:val="none"/>
        </w:rPr>
      </w:pPr>
      <w:r w:rsidRPr="000E1DE0">
        <w:rPr>
          <w:u w:val="none"/>
        </w:rPr>
        <w:t xml:space="preserve"> </w:t>
      </w:r>
    </w:p>
    <w:p w14:paraId="66652C98" w14:textId="77777777" w:rsidR="00721F67" w:rsidRPr="000E1DE0" w:rsidRDefault="00187C28" w:rsidP="008E397B">
      <w:pPr>
        <w:ind w:left="720" w:right="180"/>
        <w:jc w:val="both"/>
        <w:rPr>
          <w:u w:val="none"/>
        </w:rPr>
      </w:pPr>
      <w:r w:rsidRPr="000E1DE0">
        <w:rPr>
          <w:u w:val="none"/>
        </w:rPr>
        <w:t xml:space="preserve">The </w:t>
      </w:r>
      <w:r w:rsidR="00721F67" w:rsidRPr="000E1DE0">
        <w:rPr>
          <w:u w:val="none"/>
        </w:rPr>
        <w:t xml:space="preserve">Agent must promptly notify families in writing if they are denied either an initial hardship exemption or an additional 90-day extension of the exemption. The notification must specifically state the reason for the denial. In addition, </w:t>
      </w:r>
      <w:r w:rsidRPr="000E1DE0">
        <w:rPr>
          <w:u w:val="none"/>
        </w:rPr>
        <w:t xml:space="preserve">the </w:t>
      </w:r>
      <w:r w:rsidR="00721F67" w:rsidRPr="000E1DE0">
        <w:rPr>
          <w:u w:val="none"/>
        </w:rPr>
        <w:t>Agent must notify the family if the hardship exemption is no longer necessary and will be terminated because the circumstances that made the family eligible for the exemption are no longer applicable. The notice must state the termination date and provide 30 days’ notice of rent increase, if applicable.</w:t>
      </w:r>
    </w:p>
    <w:p w14:paraId="526CC25F" w14:textId="77777777" w:rsidR="009E185B" w:rsidRPr="000E1DE0" w:rsidRDefault="009E185B" w:rsidP="008E397B">
      <w:pPr>
        <w:ind w:left="720" w:right="180"/>
        <w:jc w:val="both"/>
        <w:rPr>
          <w:u w:val="none"/>
        </w:rPr>
      </w:pPr>
    </w:p>
    <w:p w14:paraId="316999B8" w14:textId="77777777" w:rsidR="00351772" w:rsidRPr="000E1DE0" w:rsidRDefault="00351772" w:rsidP="008E397B">
      <w:pPr>
        <w:ind w:left="720" w:right="180"/>
        <w:jc w:val="both"/>
        <w:rPr>
          <w:b/>
          <w:bCs/>
          <w:u w:val="none"/>
        </w:rPr>
      </w:pPr>
      <w:r w:rsidRPr="000E1DE0">
        <w:rPr>
          <w:b/>
          <w:bCs/>
          <w:u w:val="none"/>
        </w:rPr>
        <w:t>Agent’s Policy</w:t>
      </w:r>
      <w:r w:rsidR="00053CE3" w:rsidRPr="000E1DE0">
        <w:rPr>
          <w:b/>
          <w:bCs/>
          <w:u w:val="none"/>
        </w:rPr>
        <w:t xml:space="preserve"> – Hardship Exemption to Continue </w:t>
      </w:r>
      <w:r w:rsidR="003D0305" w:rsidRPr="000E1DE0">
        <w:rPr>
          <w:b/>
          <w:bCs/>
          <w:u w:val="none"/>
        </w:rPr>
        <w:t>Childcare</w:t>
      </w:r>
      <w:r w:rsidR="00053CE3" w:rsidRPr="000E1DE0">
        <w:rPr>
          <w:b/>
          <w:bCs/>
          <w:u w:val="none"/>
        </w:rPr>
        <w:t xml:space="preserve"> Expense</w:t>
      </w:r>
    </w:p>
    <w:p w14:paraId="3B3AEE34" w14:textId="77777777" w:rsidR="00351772" w:rsidRPr="000E1DE0" w:rsidRDefault="00351772" w:rsidP="008E397B">
      <w:pPr>
        <w:ind w:left="720" w:right="180"/>
        <w:jc w:val="both"/>
        <w:rPr>
          <w:u w:val="none"/>
        </w:rPr>
      </w:pPr>
    </w:p>
    <w:p w14:paraId="5ED109DF" w14:textId="77777777" w:rsidR="00053CE3" w:rsidRPr="000E1DE0" w:rsidRDefault="00053CE3" w:rsidP="008E397B">
      <w:pPr>
        <w:ind w:left="720" w:right="180"/>
        <w:jc w:val="both"/>
        <w:rPr>
          <w:u w:val="none"/>
        </w:rPr>
      </w:pPr>
      <w:r w:rsidRPr="000E1DE0">
        <w:rPr>
          <w:u w:val="none"/>
        </w:rPr>
        <w:t>In evaluating requests for a hardship exemption</w:t>
      </w:r>
      <w:r w:rsidR="00AB319A" w:rsidRPr="000E1DE0">
        <w:rPr>
          <w:u w:val="none"/>
        </w:rPr>
        <w:t>, it is the Agent’s policy that any one or more of the following shall constitute a hardship:</w:t>
      </w:r>
      <w:r w:rsidR="00AB319A" w:rsidRPr="000E1DE0">
        <w:rPr>
          <w:i/>
          <w:iCs/>
          <w:u w:val="none"/>
        </w:rPr>
        <w:t xml:space="preserve"> </w:t>
      </w:r>
      <w:r w:rsidR="00F215E7" w:rsidRPr="000E1DE0">
        <w:rPr>
          <w:i/>
          <w:iCs/>
          <w:u w:val="none"/>
        </w:rPr>
        <w:t>(c</w:t>
      </w:r>
      <w:r w:rsidR="00AB319A" w:rsidRPr="000E1DE0">
        <w:rPr>
          <w:i/>
          <w:iCs/>
          <w:u w:val="none"/>
        </w:rPr>
        <w:t>heck as applicable.</w:t>
      </w:r>
      <w:r w:rsidR="00F215E7" w:rsidRPr="000E1DE0">
        <w:rPr>
          <w:i/>
          <w:iCs/>
          <w:u w:val="none"/>
        </w:rPr>
        <w:t>)</w:t>
      </w:r>
    </w:p>
    <w:p w14:paraId="147486B5" w14:textId="77777777" w:rsidR="00721F67" w:rsidRPr="000E1DE0" w:rsidRDefault="00721F67" w:rsidP="008E397B">
      <w:pPr>
        <w:ind w:left="2070" w:right="180" w:hanging="630"/>
        <w:jc w:val="both"/>
        <w:rPr>
          <w:u w:val="none"/>
        </w:rPr>
      </w:pPr>
      <w:bookmarkStart w:id="24" w:name="_Hlk154673490"/>
    </w:p>
    <w:p w14:paraId="5560874C" w14:textId="77777777" w:rsidR="00721F67" w:rsidRPr="000E1DE0" w:rsidRDefault="00962582" w:rsidP="008E397B">
      <w:pPr>
        <w:ind w:left="1440" w:right="180" w:hanging="450"/>
        <w:jc w:val="both"/>
        <w:rPr>
          <w:u w:val="none"/>
        </w:rPr>
      </w:pPr>
      <w:sdt>
        <w:sdtPr>
          <w:rPr>
            <w:u w:val="none"/>
          </w:rPr>
          <w:id w:val="-26335899"/>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7A2E47" w:rsidRPr="000E1DE0">
        <w:rPr>
          <w:u w:val="none"/>
        </w:rPr>
        <w:t xml:space="preserve"> </w:t>
      </w:r>
      <w:r w:rsidR="00D36767" w:rsidRPr="000E1DE0">
        <w:rPr>
          <w:u w:val="none"/>
        </w:rPr>
        <w:tab/>
      </w:r>
      <w:r w:rsidR="00721F67" w:rsidRPr="000E1DE0">
        <w:rPr>
          <w:u w:val="none"/>
        </w:rPr>
        <w:t>Gross rent, utility payment, childcare expenses or health and medical expenses is more</w:t>
      </w:r>
      <w:r w:rsidR="00846374" w:rsidRPr="000E1DE0">
        <w:rPr>
          <w:u w:val="none"/>
        </w:rPr>
        <w:t xml:space="preserve"> </w:t>
      </w:r>
      <w:r w:rsidR="00721F67" w:rsidRPr="000E1DE0">
        <w:rPr>
          <w:u w:val="none"/>
        </w:rPr>
        <w:t>than 45 percent of the family’s adjusted income.</w:t>
      </w:r>
    </w:p>
    <w:p w14:paraId="73335BA1" w14:textId="77777777" w:rsidR="00721F67" w:rsidRPr="000E1DE0" w:rsidRDefault="00962582" w:rsidP="008E397B">
      <w:pPr>
        <w:ind w:left="1440" w:right="180" w:hanging="450"/>
        <w:jc w:val="both"/>
        <w:rPr>
          <w:u w:val="none"/>
        </w:rPr>
      </w:pPr>
      <w:sdt>
        <w:sdtPr>
          <w:rPr>
            <w:u w:val="none"/>
          </w:rPr>
          <w:id w:val="1332879602"/>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7A2E47" w:rsidRPr="000E1DE0">
        <w:rPr>
          <w:u w:val="none"/>
        </w:rPr>
        <w:t xml:space="preserve"> </w:t>
      </w:r>
      <w:r w:rsidR="00D36767" w:rsidRPr="000E1DE0">
        <w:rPr>
          <w:u w:val="none"/>
        </w:rPr>
        <w:tab/>
      </w:r>
      <w:r w:rsidR="00721F67" w:rsidRPr="000E1DE0">
        <w:rPr>
          <w:u w:val="none"/>
        </w:rPr>
        <w:t>The family has experienced unanticipated expenses, such as large medical bills, that</w:t>
      </w:r>
      <w:r w:rsidR="00E40E5F" w:rsidRPr="000E1DE0">
        <w:rPr>
          <w:u w:val="none"/>
        </w:rPr>
        <w:t xml:space="preserve"> </w:t>
      </w:r>
      <w:r w:rsidR="00721F67" w:rsidRPr="000E1DE0">
        <w:rPr>
          <w:u w:val="none"/>
        </w:rPr>
        <w:t>have affected their ability to pay their rent.</w:t>
      </w:r>
    </w:p>
    <w:p w14:paraId="144F1458" w14:textId="77777777" w:rsidR="00721F67" w:rsidRPr="000E1DE0" w:rsidRDefault="00962582" w:rsidP="008E397B">
      <w:pPr>
        <w:ind w:left="1440" w:right="180" w:hanging="450"/>
        <w:jc w:val="both"/>
        <w:rPr>
          <w:u w:val="none"/>
        </w:rPr>
      </w:pPr>
      <w:sdt>
        <w:sdtPr>
          <w:rPr>
            <w:u w:val="none"/>
          </w:rPr>
          <w:id w:val="72027521"/>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7A2E47" w:rsidRPr="000E1DE0">
        <w:rPr>
          <w:u w:val="none"/>
        </w:rPr>
        <w:t xml:space="preserve"> </w:t>
      </w:r>
      <w:r w:rsidR="00D36767" w:rsidRPr="000E1DE0">
        <w:rPr>
          <w:u w:val="none"/>
        </w:rPr>
        <w:tab/>
      </w:r>
      <w:r w:rsidR="00721F67" w:rsidRPr="000E1DE0">
        <w:rPr>
          <w:u w:val="none"/>
        </w:rPr>
        <w:t>The family’s income decreased because of a loss of employment, death of a family member, or due to a natural or federal/state declared disaster.</w:t>
      </w:r>
    </w:p>
    <w:p w14:paraId="38CC3A54" w14:textId="77777777" w:rsidR="00AB319A" w:rsidRPr="000E1DE0" w:rsidRDefault="00962582" w:rsidP="008E397B">
      <w:pPr>
        <w:ind w:left="1440" w:right="180" w:hanging="450"/>
        <w:jc w:val="both"/>
        <w:rPr>
          <w:u w:val="none"/>
        </w:rPr>
      </w:pPr>
      <w:sdt>
        <w:sdtPr>
          <w:rPr>
            <w:u w:val="none"/>
          </w:rPr>
          <w:id w:val="-215050906"/>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7A2E47" w:rsidRPr="000E1DE0">
        <w:rPr>
          <w:u w:val="none"/>
        </w:rPr>
        <w:t xml:space="preserve"> </w:t>
      </w:r>
      <w:r w:rsidR="00D36767" w:rsidRPr="000E1DE0">
        <w:rPr>
          <w:u w:val="none"/>
        </w:rPr>
        <w:tab/>
      </w:r>
      <w:r w:rsidR="00AB319A" w:rsidRPr="000E1DE0">
        <w:rPr>
          <w:u w:val="none"/>
        </w:rPr>
        <w:t>Inability to pay rent.</w:t>
      </w:r>
    </w:p>
    <w:bookmarkStart w:id="25" w:name="_Hlk162553402"/>
    <w:p w14:paraId="0DE67180" w14:textId="77777777" w:rsidR="00721F67" w:rsidRPr="000E1DE0" w:rsidRDefault="00962582" w:rsidP="008E397B">
      <w:pPr>
        <w:ind w:left="1440" w:right="180" w:hanging="450"/>
        <w:jc w:val="both"/>
        <w:rPr>
          <w:i/>
          <w:iCs/>
          <w:u w:val="none"/>
        </w:rPr>
      </w:pPr>
      <w:sdt>
        <w:sdtPr>
          <w:rPr>
            <w:u w:val="none"/>
          </w:rPr>
          <w:id w:val="-429130970"/>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bookmarkEnd w:id="25"/>
      <w:r w:rsidR="007A2E47" w:rsidRPr="000E1DE0">
        <w:rPr>
          <w:u w:val="none"/>
        </w:rPr>
        <w:t xml:space="preserve"> </w:t>
      </w:r>
      <w:r w:rsidR="00D36767" w:rsidRPr="000E1DE0">
        <w:rPr>
          <w:u w:val="none"/>
        </w:rPr>
        <w:tab/>
      </w:r>
      <w:r w:rsidR="00721F67" w:rsidRPr="000E1DE0">
        <w:rPr>
          <w:u w:val="none"/>
        </w:rPr>
        <w:t xml:space="preserve">Other: </w:t>
      </w:r>
      <w:r w:rsidR="00721F67" w:rsidRPr="000E1DE0">
        <w:rPr>
          <w:i/>
          <w:iCs/>
          <w:u w:val="none"/>
        </w:rPr>
        <w:t xml:space="preserve">Provide detail </w:t>
      </w:r>
      <w:r w:rsidR="00561EA1" w:rsidRPr="000E1DE0">
        <w:rPr>
          <w:i/>
          <w:iCs/>
          <w:u w:val="none"/>
        </w:rPr>
        <w:t>below.</w:t>
      </w:r>
    </w:p>
    <w:p w14:paraId="5C9CEBD4" w14:textId="77777777" w:rsidR="00435AA0" w:rsidRPr="000E1DE0" w:rsidRDefault="00435AA0" w:rsidP="008E397B">
      <w:pPr>
        <w:ind w:left="2070" w:right="180" w:hanging="630"/>
        <w:jc w:val="both"/>
        <w:rPr>
          <w:u w:val="none"/>
        </w:rPr>
      </w:pPr>
    </w:p>
    <w:tbl>
      <w:tblPr>
        <w:tblStyle w:val="TableGrid"/>
        <w:tblW w:w="4521" w:type="pct"/>
        <w:tblInd w:w="720" w:type="dxa"/>
        <w:tblCellMar>
          <w:top w:w="115" w:type="dxa"/>
          <w:bottom w:w="115" w:type="dxa"/>
        </w:tblCellMar>
        <w:tblLook w:val="04A0" w:firstRow="1" w:lastRow="0" w:firstColumn="1" w:lastColumn="0" w:noHBand="0" w:noVBand="1"/>
      </w:tblPr>
      <w:tblGrid>
        <w:gridCol w:w="8454"/>
      </w:tblGrid>
      <w:tr w:rsidR="00435AA0" w:rsidRPr="000E1DE0" w14:paraId="1676A94E" w14:textId="77777777" w:rsidTr="008D1E9F">
        <w:trPr>
          <w:trHeight w:val="800"/>
        </w:trPr>
        <w:tc>
          <w:tcPr>
            <w:tcW w:w="5000" w:type="pct"/>
          </w:tcPr>
          <w:bookmarkEnd w:id="24"/>
          <w:p w14:paraId="0B1003ED" w14:textId="77777777" w:rsidR="005F4D79" w:rsidRPr="008164EA" w:rsidRDefault="005F4D79" w:rsidP="008E397B">
            <w:pPr>
              <w:ind w:right="180"/>
              <w:rPr>
                <w:rFonts w:eastAsia="Times New Roman"/>
                <w:i/>
                <w:iCs/>
                <w:color w:val="auto"/>
                <w:sz w:val="20"/>
                <w:szCs w:val="20"/>
                <w:u w:val="none"/>
                <w14:ligatures w14:val="none"/>
              </w:rPr>
            </w:pPr>
            <w:r w:rsidRPr="008164EA">
              <w:rPr>
                <w:rFonts w:eastAsia="Times New Roman"/>
                <w:i/>
                <w:iCs/>
                <w:color w:val="auto"/>
                <w:sz w:val="20"/>
                <w:szCs w:val="20"/>
                <w:u w:val="none"/>
                <w14:ligatures w14:val="none"/>
              </w:rPr>
              <w:lastRenderedPageBreak/>
              <w:t>[Provide detail on “Other”, selected above.]</w:t>
            </w:r>
          </w:p>
          <w:p w14:paraId="007361C2" w14:textId="77777777" w:rsidR="005F4D79" w:rsidRPr="008164EA" w:rsidRDefault="005F4D79" w:rsidP="00947225">
            <w:pPr>
              <w:jc w:val="both"/>
              <w:rPr>
                <w:i/>
                <w:iCs/>
                <w:sz w:val="20"/>
                <w:szCs w:val="20"/>
                <w:u w:val="none"/>
                <w:vertAlign w:val="superscript"/>
              </w:rPr>
            </w:pPr>
          </w:p>
          <w:p w14:paraId="657A0DF7" w14:textId="77777777" w:rsidR="00435AA0" w:rsidRPr="000E1DE0" w:rsidRDefault="00435AA0" w:rsidP="00947225">
            <w:pPr>
              <w:jc w:val="both"/>
              <w:rPr>
                <w:i/>
                <w:iCs/>
                <w:u w:val="none"/>
              </w:rPr>
            </w:pPr>
            <w:r w:rsidRPr="000E1DE0">
              <w:rPr>
                <w:i/>
                <w:iCs/>
                <w:u w:val="none"/>
              </w:rPr>
              <w:fldChar w:fldCharType="begin">
                <w:ffData>
                  <w:name w:val="box5"/>
                  <w:enabled/>
                  <w:calcOnExit/>
                  <w:textInput>
                    <w:maxLength w:val="15000"/>
                  </w:textInput>
                </w:ffData>
              </w:fldChar>
            </w:r>
            <w:bookmarkStart w:id="26" w:name="box5"/>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26"/>
          </w:p>
        </w:tc>
      </w:tr>
    </w:tbl>
    <w:p w14:paraId="6149DBD7" w14:textId="77777777" w:rsidR="005F6706" w:rsidRPr="000E1DE0" w:rsidRDefault="005F6706" w:rsidP="008E397B">
      <w:pPr>
        <w:ind w:left="2070" w:right="180" w:hanging="630"/>
        <w:jc w:val="both"/>
        <w:rPr>
          <w:u w:val="none"/>
        </w:rPr>
      </w:pPr>
    </w:p>
    <w:p w14:paraId="6983C462" w14:textId="77777777" w:rsidR="00187C28" w:rsidRPr="000E1DE0" w:rsidRDefault="00187C28" w:rsidP="008E397B">
      <w:pPr>
        <w:ind w:left="720" w:right="180"/>
        <w:jc w:val="both"/>
        <w:rPr>
          <w:b/>
          <w:bCs/>
          <w:u w:val="none"/>
        </w:rPr>
      </w:pPr>
      <w:r w:rsidRPr="000E1DE0">
        <w:rPr>
          <w:b/>
          <w:bCs/>
          <w:u w:val="none"/>
        </w:rPr>
        <w:t>Agent’s Discretionary Policy</w:t>
      </w:r>
    </w:p>
    <w:p w14:paraId="7F11D869" w14:textId="77777777" w:rsidR="00187C28" w:rsidRPr="000E1DE0" w:rsidRDefault="00187C28" w:rsidP="008E397B">
      <w:pPr>
        <w:ind w:left="720" w:right="180"/>
        <w:jc w:val="both"/>
        <w:rPr>
          <w:u w:val="none"/>
        </w:rPr>
      </w:pPr>
    </w:p>
    <w:p w14:paraId="6AA83B2A" w14:textId="77777777" w:rsidR="0069797B" w:rsidRPr="000E1DE0" w:rsidRDefault="0069797B" w:rsidP="008E397B">
      <w:pPr>
        <w:ind w:left="720" w:right="180"/>
        <w:jc w:val="both"/>
        <w:rPr>
          <w:u w:val="none"/>
        </w:rPr>
      </w:pPr>
      <w:bookmarkStart w:id="27" w:name="_Hlk162694679"/>
      <w:r w:rsidRPr="000E1DE0">
        <w:rPr>
          <w:u w:val="none"/>
        </w:rPr>
        <w:t>Are extensions of the 90-day hardship period allowable</w:t>
      </w:r>
      <w:r w:rsidR="000566E0" w:rsidRPr="000E1DE0">
        <w:rPr>
          <w:u w:val="none"/>
        </w:rPr>
        <w:t>?</w:t>
      </w:r>
      <w:r w:rsidRPr="000E1DE0">
        <w:rPr>
          <w:u w:val="none"/>
        </w:rPr>
        <w:t xml:space="preserve"> </w:t>
      </w:r>
      <w:r w:rsidR="006A5744" w:rsidRPr="000E1DE0">
        <w:rPr>
          <w:i/>
          <w:iCs/>
          <w:u w:val="none"/>
        </w:rPr>
        <w:t>(check as applicable)</w:t>
      </w:r>
    </w:p>
    <w:p w14:paraId="52F2A062" w14:textId="77777777" w:rsidR="00B515FF" w:rsidRPr="000E1DE0" w:rsidRDefault="0069797B" w:rsidP="008E397B">
      <w:pPr>
        <w:ind w:left="720" w:right="180"/>
        <w:jc w:val="both"/>
        <w:rPr>
          <w:u w:val="none"/>
        </w:rPr>
      </w:pPr>
      <w:r w:rsidRPr="000E1DE0">
        <w:rPr>
          <w:u w:val="none"/>
        </w:rPr>
        <w:tab/>
      </w:r>
    </w:p>
    <w:p w14:paraId="40FFBF8B" w14:textId="77777777" w:rsidR="0069797B" w:rsidRPr="000E1DE0" w:rsidRDefault="00962582" w:rsidP="008E397B">
      <w:pPr>
        <w:ind w:left="1440" w:right="180" w:hanging="450"/>
        <w:jc w:val="both"/>
        <w:rPr>
          <w:u w:val="none"/>
        </w:rPr>
      </w:pPr>
      <w:sdt>
        <w:sdtPr>
          <w:rPr>
            <w:u w:val="none"/>
          </w:rPr>
          <w:id w:val="-1801997300"/>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762E8F" w:rsidRPr="000E1DE0">
        <w:rPr>
          <w:u w:val="none"/>
        </w:rPr>
        <w:tab/>
      </w:r>
      <w:r w:rsidR="0069797B" w:rsidRPr="000E1DE0">
        <w:rPr>
          <w:u w:val="none"/>
        </w:rPr>
        <w:t>Yes</w:t>
      </w:r>
    </w:p>
    <w:bookmarkEnd w:id="27"/>
    <w:p w14:paraId="2E641F93" w14:textId="77777777" w:rsidR="0069797B" w:rsidRPr="000E1DE0" w:rsidRDefault="00962582" w:rsidP="008E397B">
      <w:pPr>
        <w:ind w:left="1440" w:right="180" w:hanging="450"/>
        <w:jc w:val="both"/>
        <w:rPr>
          <w:u w:val="none"/>
        </w:rPr>
      </w:pPr>
      <w:sdt>
        <w:sdtPr>
          <w:rPr>
            <w:u w:val="none"/>
          </w:rPr>
          <w:id w:val="-462578907"/>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69797B" w:rsidRPr="000E1DE0">
        <w:rPr>
          <w:u w:val="none"/>
        </w:rPr>
        <w:t>No</w:t>
      </w:r>
    </w:p>
    <w:p w14:paraId="521C0957" w14:textId="77777777" w:rsidR="000566E0" w:rsidRPr="000E1DE0" w:rsidRDefault="000566E0" w:rsidP="008E397B">
      <w:pPr>
        <w:ind w:left="720" w:right="180"/>
        <w:jc w:val="both"/>
        <w:rPr>
          <w:u w:val="none"/>
        </w:rPr>
      </w:pPr>
    </w:p>
    <w:p w14:paraId="189F3EA0" w14:textId="77777777" w:rsidR="005E61D4" w:rsidRPr="000E1DE0" w:rsidRDefault="000566E0" w:rsidP="008E397B">
      <w:pPr>
        <w:ind w:left="720" w:right="180"/>
        <w:jc w:val="both"/>
        <w:rPr>
          <w:u w:val="none"/>
        </w:rPr>
      </w:pPr>
      <w:bookmarkStart w:id="28" w:name="_Hlk154673454"/>
      <w:r w:rsidRPr="000E1DE0">
        <w:rPr>
          <w:u w:val="none"/>
        </w:rPr>
        <w:t xml:space="preserve">If </w:t>
      </w:r>
      <w:r w:rsidR="00721F67" w:rsidRPr="000E1DE0">
        <w:rPr>
          <w:u w:val="none"/>
        </w:rPr>
        <w:t>yes</w:t>
      </w:r>
      <w:r w:rsidRPr="000E1DE0">
        <w:rPr>
          <w:u w:val="none"/>
        </w:rPr>
        <w:t>, what is the maximum number of 90-day extensions families may receive?</w:t>
      </w:r>
      <w:bookmarkEnd w:id="28"/>
    </w:p>
    <w:p w14:paraId="303248CF" w14:textId="3D4BE166" w:rsidR="00CF0A37" w:rsidRPr="000E1DE0" w:rsidRDefault="00F44C63" w:rsidP="008E397B">
      <w:pPr>
        <w:ind w:left="720" w:right="180"/>
        <w:jc w:val="both"/>
        <w:rPr>
          <w:u w:val="none"/>
        </w:rPr>
      </w:pPr>
      <w:r w:rsidRPr="000E1DE0">
        <w:rPr>
          <w14:ligatures w14:val="none"/>
        </w:rPr>
        <w:object w:dxaOrig="1440" w:dyaOrig="1440" w14:anchorId="6F9F16E0">
          <v:shape id="_x0000_i1055" type="#_x0000_t75" style="width:27pt;height:16.5pt" o:ole="">
            <v:imagedata r:id="rId28" o:title=""/>
          </v:shape>
          <w:control r:id="rId29" w:name="TextBox11111111111111113" w:shapeid="_x0000_i1055"/>
        </w:object>
      </w:r>
    </w:p>
    <w:p w14:paraId="141FE805" w14:textId="77777777" w:rsidR="006B74EB" w:rsidRPr="000E1DE0" w:rsidRDefault="006B74EB" w:rsidP="008E397B">
      <w:pPr>
        <w:ind w:left="2070" w:right="180" w:hanging="630"/>
        <w:jc w:val="both"/>
        <w:rPr>
          <w:u w:val="none"/>
        </w:rPr>
      </w:pPr>
    </w:p>
    <w:p w14:paraId="2714D1D9" w14:textId="77777777" w:rsidR="00DC167B" w:rsidRPr="000E1DE0" w:rsidRDefault="00DC167B" w:rsidP="00FE0C37">
      <w:pPr>
        <w:pStyle w:val="ListParagraph"/>
        <w:numPr>
          <w:ilvl w:val="0"/>
          <w:numId w:val="13"/>
        </w:numPr>
        <w:tabs>
          <w:tab w:val="left" w:pos="450"/>
        </w:tabs>
        <w:ind w:right="180" w:hanging="720"/>
        <w:jc w:val="both"/>
        <w:rPr>
          <w:b/>
          <w:bCs/>
          <w:sz w:val="28"/>
          <w:szCs w:val="28"/>
          <w:u w:val="none"/>
        </w:rPr>
      </w:pPr>
      <w:r w:rsidRPr="000E1DE0">
        <w:rPr>
          <w:b/>
          <w:bCs/>
          <w:sz w:val="28"/>
          <w:szCs w:val="28"/>
          <w:u w:val="none"/>
        </w:rPr>
        <w:t>Income</w:t>
      </w:r>
    </w:p>
    <w:p w14:paraId="64C336FD" w14:textId="77777777" w:rsidR="00DC167B" w:rsidRPr="000E1DE0" w:rsidRDefault="00DC167B" w:rsidP="008E397B">
      <w:pPr>
        <w:ind w:left="2070" w:right="180" w:hanging="630"/>
        <w:jc w:val="both"/>
        <w:rPr>
          <w:u w:val="none"/>
        </w:rPr>
      </w:pPr>
    </w:p>
    <w:p w14:paraId="30217ADA" w14:textId="77777777" w:rsidR="00DC167B" w:rsidRPr="000E1DE0" w:rsidRDefault="00DC167B" w:rsidP="00FE0C37">
      <w:pPr>
        <w:pStyle w:val="ListParagraph"/>
        <w:numPr>
          <w:ilvl w:val="0"/>
          <w:numId w:val="4"/>
        </w:numPr>
        <w:ind w:right="180" w:hanging="450"/>
        <w:rPr>
          <w:b/>
          <w:bCs/>
        </w:rPr>
      </w:pPr>
      <w:r w:rsidRPr="000E1DE0">
        <w:rPr>
          <w:b/>
          <w:bCs/>
        </w:rPr>
        <w:t>Self-Certification of Net Family Assets Equal to or Less Than $50,000 (adjusted annually for inflation)</w:t>
      </w:r>
    </w:p>
    <w:p w14:paraId="0F72C91A" w14:textId="77777777" w:rsidR="00DC167B" w:rsidRPr="000E1DE0" w:rsidRDefault="00DC167B" w:rsidP="008E397B">
      <w:pPr>
        <w:ind w:left="720" w:right="180"/>
        <w:jc w:val="both"/>
        <w:rPr>
          <w:u w:val="none"/>
        </w:rPr>
      </w:pPr>
    </w:p>
    <w:p w14:paraId="41999DFF" w14:textId="77777777" w:rsidR="00DC167B" w:rsidRPr="000E1DE0" w:rsidRDefault="00DC167B" w:rsidP="008E397B">
      <w:pPr>
        <w:ind w:left="720" w:right="180"/>
        <w:jc w:val="both"/>
        <w:rPr>
          <w:u w:val="none"/>
        </w:rPr>
      </w:pPr>
      <w:r w:rsidRPr="000E1DE0">
        <w:rPr>
          <w:u w:val="none"/>
        </w:rPr>
        <w:t>Regulations: 24 CFR §§ 5.603; 5.609; 5.618; 5.659; 891.105; and 891.415(a)(2)</w:t>
      </w:r>
    </w:p>
    <w:p w14:paraId="3D4F1847" w14:textId="77777777" w:rsidR="00DC167B" w:rsidRPr="000E1DE0" w:rsidRDefault="00DC167B" w:rsidP="008E397B">
      <w:pPr>
        <w:ind w:left="720" w:right="180"/>
        <w:jc w:val="both"/>
        <w:rPr>
          <w:u w:val="none"/>
        </w:rPr>
      </w:pPr>
    </w:p>
    <w:p w14:paraId="1E633110" w14:textId="77777777" w:rsidR="00DC167B" w:rsidRPr="000E1DE0" w:rsidRDefault="00DC167B" w:rsidP="008E397B">
      <w:pPr>
        <w:ind w:left="720" w:right="180"/>
        <w:jc w:val="both"/>
        <w:rPr>
          <w:b/>
          <w:bCs/>
          <w:u w:val="none"/>
        </w:rPr>
      </w:pPr>
      <w:r w:rsidRPr="000E1DE0">
        <w:rPr>
          <w:b/>
          <w:bCs/>
          <w:u w:val="none"/>
        </w:rPr>
        <w:t>Required HOTMA Rule</w:t>
      </w:r>
    </w:p>
    <w:p w14:paraId="5E5E0169" w14:textId="77777777" w:rsidR="00DC167B" w:rsidRPr="000E1DE0" w:rsidRDefault="00DC167B" w:rsidP="008E397B">
      <w:pPr>
        <w:ind w:left="720" w:right="180"/>
        <w:jc w:val="both"/>
        <w:rPr>
          <w:u w:val="none"/>
        </w:rPr>
      </w:pPr>
    </w:p>
    <w:p w14:paraId="576907BD" w14:textId="77777777" w:rsidR="00DC167B" w:rsidRPr="000E1DE0" w:rsidRDefault="00DC167B" w:rsidP="008E397B">
      <w:pPr>
        <w:ind w:left="720" w:right="180"/>
        <w:jc w:val="both"/>
        <w:rPr>
          <w:u w:val="none"/>
        </w:rPr>
      </w:pPr>
      <w:r w:rsidRPr="000E1DE0">
        <w:rPr>
          <w:u w:val="none"/>
        </w:rPr>
        <w:t xml:space="preserve">The Agent must determine Net Family Assets and income from Net Family Assets </w:t>
      </w:r>
      <w:r w:rsidR="00C24F02" w:rsidRPr="000E1DE0">
        <w:rPr>
          <w:u w:val="none"/>
        </w:rPr>
        <w:t xml:space="preserve">at admission and at </w:t>
      </w:r>
      <w:r w:rsidRPr="000E1DE0">
        <w:rPr>
          <w:u w:val="none"/>
        </w:rPr>
        <w:t>reexamination.</w:t>
      </w:r>
    </w:p>
    <w:p w14:paraId="735ABB65" w14:textId="77777777" w:rsidR="00DC167B" w:rsidRPr="000E1DE0" w:rsidRDefault="00DC167B" w:rsidP="008E397B">
      <w:pPr>
        <w:pStyle w:val="ListParagraph"/>
        <w:ind w:left="1440" w:right="180"/>
        <w:jc w:val="both"/>
        <w:rPr>
          <w:u w:val="none"/>
        </w:rPr>
      </w:pPr>
    </w:p>
    <w:p w14:paraId="7AD3F472" w14:textId="77777777" w:rsidR="003D0305" w:rsidRPr="000E1DE0" w:rsidRDefault="003D0305" w:rsidP="00FE0C37">
      <w:pPr>
        <w:pStyle w:val="ListParagraph"/>
        <w:numPr>
          <w:ilvl w:val="0"/>
          <w:numId w:val="12"/>
        </w:numPr>
        <w:ind w:left="1800" w:right="180"/>
        <w:jc w:val="both"/>
        <w:rPr>
          <w:u w:val="none"/>
        </w:rPr>
      </w:pPr>
      <w:r w:rsidRPr="000E1DE0">
        <w:rPr>
          <w:u w:val="none"/>
        </w:rPr>
        <w:t>For purposes of determining net family assets, the Agent may (but is not required to) adopt a policy to allow for self-certification of net family assets for families with net family assets that are equal to or below $50,000, adjusted annually for inflation.</w:t>
      </w:r>
    </w:p>
    <w:p w14:paraId="3055A2D7" w14:textId="77777777" w:rsidR="00DC167B" w:rsidRPr="000E1DE0" w:rsidRDefault="00DC167B" w:rsidP="00FE0C37">
      <w:pPr>
        <w:pStyle w:val="ListParagraph"/>
        <w:numPr>
          <w:ilvl w:val="0"/>
          <w:numId w:val="12"/>
        </w:numPr>
        <w:ind w:left="1800" w:right="180"/>
        <w:jc w:val="both"/>
        <w:rPr>
          <w:u w:val="none"/>
        </w:rPr>
      </w:pPr>
      <w:r w:rsidRPr="000E1DE0">
        <w:rPr>
          <w:u w:val="none"/>
        </w:rPr>
        <w:t>If the Agent elects to accept self-certification of net family assets at</w:t>
      </w:r>
      <w:r w:rsidR="00C24F02" w:rsidRPr="000E1DE0">
        <w:rPr>
          <w:u w:val="none"/>
        </w:rPr>
        <w:t xml:space="preserve"> admission and at</w:t>
      </w:r>
      <w:r w:rsidRPr="000E1DE0">
        <w:rPr>
          <w:u w:val="none"/>
        </w:rPr>
        <w:t xml:space="preserve"> reexamination, the Agent must fully verify (i.e. by third-party verification) the family’s assets every three years.</w:t>
      </w:r>
    </w:p>
    <w:p w14:paraId="6054DB75" w14:textId="77777777" w:rsidR="00DC167B" w:rsidRPr="000E1DE0" w:rsidRDefault="00DC167B" w:rsidP="00FE0C37">
      <w:pPr>
        <w:pStyle w:val="ListParagraph"/>
        <w:numPr>
          <w:ilvl w:val="0"/>
          <w:numId w:val="12"/>
        </w:numPr>
        <w:tabs>
          <w:tab w:val="right" w:pos="9180"/>
        </w:tabs>
        <w:ind w:left="1800" w:right="180"/>
        <w:jc w:val="both"/>
        <w:rPr>
          <w:u w:val="none"/>
        </w:rPr>
      </w:pPr>
      <w:r w:rsidRPr="000E1DE0">
        <w:rPr>
          <w:u w:val="none"/>
        </w:rPr>
        <w:t>Agents who choose not to accept self-certifications of assets must fully verify (i.e. by third-party verification) net family assets on an annual basis.</w:t>
      </w:r>
    </w:p>
    <w:p w14:paraId="3274110A" w14:textId="77777777" w:rsidR="00DC167B" w:rsidRPr="000E1DE0" w:rsidRDefault="00DC167B" w:rsidP="00FE0C37">
      <w:pPr>
        <w:pStyle w:val="ListParagraph"/>
        <w:numPr>
          <w:ilvl w:val="0"/>
          <w:numId w:val="12"/>
        </w:numPr>
        <w:ind w:left="1800" w:right="180"/>
        <w:jc w:val="both"/>
        <w:rPr>
          <w:u w:val="none"/>
        </w:rPr>
      </w:pPr>
      <w:r w:rsidRPr="000E1DE0">
        <w:rPr>
          <w:u w:val="none"/>
        </w:rPr>
        <w:t>Third-party verification of assets is required when net family assets exceed $50,000,</w:t>
      </w:r>
      <w:r w:rsidR="00F34F50" w:rsidRPr="000E1DE0">
        <w:rPr>
          <w:u w:val="none"/>
        </w:rPr>
        <w:t xml:space="preserve"> </w:t>
      </w:r>
      <w:r w:rsidRPr="000E1DE0">
        <w:rPr>
          <w:u w:val="none"/>
        </w:rPr>
        <w:t>adjusted annually by HUD.</w:t>
      </w:r>
    </w:p>
    <w:p w14:paraId="29BE77F0" w14:textId="77777777" w:rsidR="00DC167B" w:rsidRPr="000E1DE0" w:rsidRDefault="00DC167B" w:rsidP="008E397B">
      <w:pPr>
        <w:ind w:left="720" w:right="180"/>
        <w:jc w:val="both"/>
        <w:rPr>
          <w:u w:val="none"/>
        </w:rPr>
      </w:pPr>
    </w:p>
    <w:p w14:paraId="0B0BFAB9" w14:textId="77777777" w:rsidR="00DC167B" w:rsidRPr="000E1DE0" w:rsidRDefault="00DC167B" w:rsidP="008E397B">
      <w:pPr>
        <w:ind w:left="720" w:right="180"/>
        <w:jc w:val="both"/>
        <w:rPr>
          <w:b/>
          <w:bCs/>
          <w:u w:val="none"/>
        </w:rPr>
      </w:pPr>
      <w:r w:rsidRPr="000E1DE0">
        <w:rPr>
          <w:b/>
          <w:bCs/>
          <w:u w:val="none"/>
        </w:rPr>
        <w:t>Agent’s Discretionary Policy</w:t>
      </w:r>
    </w:p>
    <w:p w14:paraId="659E3816" w14:textId="77777777" w:rsidR="00DC167B" w:rsidRPr="000E1DE0" w:rsidRDefault="00DC167B" w:rsidP="008E397B">
      <w:pPr>
        <w:ind w:left="720" w:right="180"/>
        <w:jc w:val="both"/>
        <w:rPr>
          <w:u w:val="none"/>
        </w:rPr>
      </w:pPr>
    </w:p>
    <w:p w14:paraId="01DA9CA1" w14:textId="77777777" w:rsidR="00DC167B" w:rsidRPr="000E1DE0" w:rsidRDefault="00DC167B" w:rsidP="008E397B">
      <w:pPr>
        <w:ind w:left="720" w:right="180"/>
        <w:jc w:val="both"/>
        <w:rPr>
          <w:u w:val="none"/>
        </w:rPr>
      </w:pPr>
      <w:r w:rsidRPr="000E1DE0">
        <w:rPr>
          <w:u w:val="none"/>
        </w:rPr>
        <w:t xml:space="preserve">Will the Agent accept a family’s self-certification of net family assets equal to or less than $50,000? </w:t>
      </w:r>
    </w:p>
    <w:p w14:paraId="3AB790E6" w14:textId="77777777" w:rsidR="00835256" w:rsidRPr="000E1DE0" w:rsidRDefault="00835256" w:rsidP="008E397B">
      <w:pPr>
        <w:ind w:left="720" w:right="180"/>
        <w:jc w:val="both"/>
        <w:rPr>
          <w:u w:val="none"/>
        </w:rPr>
      </w:pPr>
    </w:p>
    <w:tbl>
      <w:tblPr>
        <w:tblStyle w:val="TableGrid"/>
        <w:tblW w:w="0" w:type="auto"/>
        <w:jc w:val="center"/>
        <w:tblLook w:val="04A0" w:firstRow="1" w:lastRow="0" w:firstColumn="1" w:lastColumn="0" w:noHBand="0" w:noVBand="1"/>
      </w:tblPr>
      <w:tblGrid>
        <w:gridCol w:w="5125"/>
        <w:gridCol w:w="2610"/>
      </w:tblGrid>
      <w:tr w:rsidR="00835256" w:rsidRPr="000E1DE0" w14:paraId="5121F98C" w14:textId="77777777" w:rsidTr="002D020F">
        <w:trPr>
          <w:trHeight w:val="361"/>
          <w:jc w:val="center"/>
        </w:trPr>
        <w:tc>
          <w:tcPr>
            <w:tcW w:w="5125" w:type="dxa"/>
            <w:vAlign w:val="center"/>
          </w:tcPr>
          <w:p w14:paraId="2F3E9B2E" w14:textId="77777777" w:rsidR="00835256" w:rsidRPr="000E1DE0" w:rsidRDefault="00835256" w:rsidP="008E397B">
            <w:pPr>
              <w:ind w:right="180"/>
              <w:rPr>
                <w:u w:val="none"/>
              </w:rPr>
            </w:pPr>
            <w:r w:rsidRPr="000E1DE0">
              <w:rPr>
                <w:u w:val="none"/>
              </w:rPr>
              <w:lastRenderedPageBreak/>
              <w:t>Upon Admission</w:t>
            </w:r>
            <w:r w:rsidR="00067BA6" w:rsidRPr="000E1DE0">
              <w:rPr>
                <w:u w:val="none"/>
              </w:rPr>
              <w:t xml:space="preserve"> </w:t>
            </w:r>
            <w:r w:rsidR="00067BA6" w:rsidRPr="000E1DE0">
              <w:rPr>
                <w:i/>
                <w:iCs/>
                <w:u w:val="none"/>
              </w:rPr>
              <w:t>(check as applicable)</w:t>
            </w:r>
          </w:p>
        </w:tc>
        <w:tc>
          <w:tcPr>
            <w:tcW w:w="2610" w:type="dxa"/>
            <w:vAlign w:val="center"/>
          </w:tcPr>
          <w:p w14:paraId="0FD3F31B" w14:textId="77777777" w:rsidR="00067BA6" w:rsidRPr="000E1DE0" w:rsidRDefault="00962582" w:rsidP="008E397B">
            <w:pPr>
              <w:ind w:right="180"/>
              <w:jc w:val="center"/>
              <w:rPr>
                <w:u w:val="none"/>
              </w:rPr>
            </w:pPr>
            <w:sdt>
              <w:sdtPr>
                <w:rPr>
                  <w:u w:val="none"/>
                </w:rPr>
                <w:id w:val="-942299124"/>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8D4BFC" w:rsidRPr="000E1DE0">
              <w:rPr>
                <w:u w:val="none"/>
              </w:rPr>
              <w:t xml:space="preserve"> </w:t>
            </w:r>
            <w:r w:rsidR="00835256" w:rsidRPr="000E1DE0">
              <w:rPr>
                <w:u w:val="none"/>
              </w:rPr>
              <w:t>Yes</w:t>
            </w:r>
            <w:r w:rsidR="00762E8F" w:rsidRPr="000E1DE0">
              <w:rPr>
                <w:u w:val="none"/>
              </w:rPr>
              <w:t xml:space="preserve">  </w:t>
            </w:r>
            <w:r w:rsidR="00835256" w:rsidRPr="000E1DE0">
              <w:rPr>
                <w:u w:val="none"/>
              </w:rPr>
              <w:t xml:space="preserve"> </w:t>
            </w:r>
            <w:sdt>
              <w:sdtPr>
                <w:rPr>
                  <w:u w:val="none"/>
                </w:rPr>
                <w:id w:val="-2132539638"/>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8D4BFC" w:rsidRPr="000E1DE0">
              <w:rPr>
                <w:u w:val="none"/>
              </w:rPr>
              <w:t xml:space="preserve"> </w:t>
            </w:r>
            <w:r w:rsidR="00835256" w:rsidRPr="000E1DE0">
              <w:rPr>
                <w:u w:val="none"/>
              </w:rPr>
              <w:t>No</w:t>
            </w:r>
          </w:p>
        </w:tc>
      </w:tr>
      <w:tr w:rsidR="00835256" w:rsidRPr="000E1DE0" w14:paraId="6A3E208E" w14:textId="77777777" w:rsidTr="002D020F">
        <w:trPr>
          <w:trHeight w:val="348"/>
          <w:jc w:val="center"/>
        </w:trPr>
        <w:tc>
          <w:tcPr>
            <w:tcW w:w="5125" w:type="dxa"/>
            <w:vAlign w:val="center"/>
          </w:tcPr>
          <w:p w14:paraId="1F6F462E" w14:textId="77777777" w:rsidR="00835256" w:rsidRPr="000E1DE0" w:rsidRDefault="00835256" w:rsidP="008E397B">
            <w:pPr>
              <w:ind w:right="180"/>
              <w:rPr>
                <w:u w:val="none"/>
              </w:rPr>
            </w:pPr>
            <w:r w:rsidRPr="000E1DE0">
              <w:rPr>
                <w:u w:val="none"/>
              </w:rPr>
              <w:t xml:space="preserve">Upon Re-Examination </w:t>
            </w:r>
            <w:r w:rsidR="00067BA6" w:rsidRPr="000E1DE0">
              <w:rPr>
                <w:i/>
                <w:iCs/>
                <w:u w:val="none"/>
              </w:rPr>
              <w:t>(check as applicable)</w:t>
            </w:r>
          </w:p>
        </w:tc>
        <w:tc>
          <w:tcPr>
            <w:tcW w:w="2610" w:type="dxa"/>
            <w:vAlign w:val="bottom"/>
          </w:tcPr>
          <w:p w14:paraId="0AE40FC8" w14:textId="77777777" w:rsidR="00067BA6" w:rsidRPr="000E1DE0" w:rsidRDefault="00962582" w:rsidP="008E397B">
            <w:pPr>
              <w:ind w:right="180"/>
              <w:jc w:val="center"/>
              <w:rPr>
                <w:u w:val="none"/>
              </w:rPr>
            </w:pPr>
            <w:sdt>
              <w:sdtPr>
                <w:rPr>
                  <w:u w:val="none"/>
                </w:rPr>
                <w:id w:val="-652132238"/>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8D4BFC" w:rsidRPr="000E1DE0">
              <w:rPr>
                <w:u w:val="none"/>
              </w:rPr>
              <w:t xml:space="preserve"> </w:t>
            </w:r>
            <w:r w:rsidR="00835256" w:rsidRPr="000E1DE0">
              <w:rPr>
                <w:u w:val="none"/>
              </w:rPr>
              <w:t>Yes</w:t>
            </w:r>
            <w:r w:rsidR="00762E8F" w:rsidRPr="000E1DE0">
              <w:rPr>
                <w:u w:val="none"/>
              </w:rPr>
              <w:t xml:space="preserve"> </w:t>
            </w:r>
            <w:r w:rsidR="00D44F75" w:rsidRPr="000E1DE0">
              <w:rPr>
                <w:u w:val="none"/>
              </w:rPr>
              <w:t xml:space="preserve"> </w:t>
            </w:r>
            <w:r w:rsidR="00841862" w:rsidRPr="000E1DE0">
              <w:rPr>
                <w:u w:val="none"/>
              </w:rPr>
              <w:t xml:space="preserve"> </w:t>
            </w:r>
            <w:sdt>
              <w:sdtPr>
                <w:rPr>
                  <w:u w:val="none"/>
                </w:rPr>
                <w:id w:val="-618147672"/>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8D4BFC" w:rsidRPr="000E1DE0">
              <w:rPr>
                <w:u w:val="none"/>
              </w:rPr>
              <w:t xml:space="preserve"> </w:t>
            </w:r>
            <w:r w:rsidR="00835256" w:rsidRPr="000E1DE0">
              <w:rPr>
                <w:u w:val="none"/>
              </w:rPr>
              <w:t>No</w:t>
            </w:r>
          </w:p>
        </w:tc>
      </w:tr>
    </w:tbl>
    <w:p w14:paraId="6C73CA90" w14:textId="77777777" w:rsidR="00DC167B" w:rsidRPr="000E1DE0" w:rsidRDefault="00DC167B" w:rsidP="008E397B">
      <w:pPr>
        <w:ind w:right="180"/>
        <w:jc w:val="both"/>
        <w:rPr>
          <w:u w:val="none"/>
        </w:rPr>
      </w:pPr>
    </w:p>
    <w:p w14:paraId="312EF47E" w14:textId="77777777" w:rsidR="004C792C" w:rsidRPr="000E1DE0" w:rsidRDefault="00F77DD9" w:rsidP="00FE0C37">
      <w:pPr>
        <w:pStyle w:val="ListParagraph"/>
        <w:numPr>
          <w:ilvl w:val="0"/>
          <w:numId w:val="13"/>
        </w:numPr>
        <w:tabs>
          <w:tab w:val="left" w:pos="450"/>
        </w:tabs>
        <w:ind w:right="180" w:hanging="720"/>
        <w:jc w:val="both"/>
        <w:rPr>
          <w:b/>
          <w:bCs/>
          <w:sz w:val="28"/>
          <w:szCs w:val="28"/>
          <w:u w:val="none"/>
        </w:rPr>
      </w:pPr>
      <w:r w:rsidRPr="000E1DE0">
        <w:rPr>
          <w:b/>
          <w:bCs/>
          <w:sz w:val="28"/>
          <w:szCs w:val="28"/>
          <w:u w:val="none"/>
        </w:rPr>
        <w:t>Interim Reexaminations</w:t>
      </w:r>
    </w:p>
    <w:p w14:paraId="71665B1D" w14:textId="77777777" w:rsidR="005E61D4" w:rsidRPr="000E1DE0" w:rsidRDefault="005E61D4" w:rsidP="008E397B">
      <w:pPr>
        <w:ind w:right="180"/>
        <w:jc w:val="both"/>
        <w:rPr>
          <w:u w:val="none"/>
        </w:rPr>
      </w:pPr>
    </w:p>
    <w:p w14:paraId="7EC26377" w14:textId="77777777" w:rsidR="00B15EC7" w:rsidRPr="000E1DE0" w:rsidRDefault="00B92E02" w:rsidP="00FE0C37">
      <w:pPr>
        <w:pStyle w:val="ListParagraph"/>
        <w:numPr>
          <w:ilvl w:val="0"/>
          <w:numId w:val="6"/>
        </w:numPr>
        <w:ind w:right="180" w:hanging="450"/>
        <w:jc w:val="both"/>
        <w:rPr>
          <w:b/>
          <w:bCs/>
        </w:rPr>
      </w:pPr>
      <w:r w:rsidRPr="000E1DE0">
        <w:rPr>
          <w:b/>
          <w:bCs/>
        </w:rPr>
        <w:t>Interim Reexaminations - Decreases in Adjusted Income</w:t>
      </w:r>
    </w:p>
    <w:p w14:paraId="026EB6DC" w14:textId="77777777" w:rsidR="00E613BE" w:rsidRPr="000E1DE0" w:rsidRDefault="00E613BE" w:rsidP="008E397B">
      <w:pPr>
        <w:ind w:right="180"/>
        <w:jc w:val="both"/>
        <w:rPr>
          <w:u w:val="none"/>
        </w:rPr>
      </w:pPr>
    </w:p>
    <w:p w14:paraId="6C69B550" w14:textId="77777777" w:rsidR="008009B2" w:rsidRPr="000E1DE0" w:rsidRDefault="008009B2" w:rsidP="008E397B">
      <w:pPr>
        <w:ind w:left="720" w:right="180"/>
        <w:jc w:val="both"/>
        <w:rPr>
          <w:u w:val="none"/>
        </w:rPr>
      </w:pPr>
      <w:r w:rsidRPr="000E1DE0">
        <w:rPr>
          <w:u w:val="none"/>
        </w:rPr>
        <w:t xml:space="preserve">Regulations: </w:t>
      </w:r>
      <w:r w:rsidR="003B5725" w:rsidRPr="000E1DE0">
        <w:rPr>
          <w:u w:val="none"/>
        </w:rPr>
        <w:t>24 CFR §§ 5.657(c)(2); 891.105; 891.410(g); and 891.610(g)</w:t>
      </w:r>
    </w:p>
    <w:p w14:paraId="2E5DC264" w14:textId="77777777" w:rsidR="00351772" w:rsidRPr="000E1DE0" w:rsidRDefault="00351772" w:rsidP="008E397B">
      <w:pPr>
        <w:ind w:left="720" w:right="180"/>
        <w:jc w:val="both"/>
        <w:rPr>
          <w:b/>
          <w:bCs/>
          <w:u w:val="none"/>
        </w:rPr>
      </w:pPr>
    </w:p>
    <w:p w14:paraId="5DF73857"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70393C6A" w14:textId="77777777" w:rsidR="003B5725" w:rsidRPr="000E1DE0" w:rsidRDefault="003B5725" w:rsidP="008E397B">
      <w:pPr>
        <w:ind w:left="720" w:right="180"/>
        <w:jc w:val="both"/>
        <w:rPr>
          <w:u w:val="none"/>
        </w:rPr>
      </w:pPr>
    </w:p>
    <w:p w14:paraId="5ECFB467" w14:textId="77777777" w:rsidR="00FE082E" w:rsidRPr="000E1DE0" w:rsidRDefault="00FE082E" w:rsidP="008E397B">
      <w:pPr>
        <w:ind w:left="720" w:right="180"/>
        <w:jc w:val="both"/>
        <w:rPr>
          <w:u w:val="none"/>
        </w:rPr>
      </w:pPr>
      <w:r w:rsidRPr="000E1DE0">
        <w:rPr>
          <w:u w:val="none"/>
        </w:rPr>
        <w:t xml:space="preserve">Applicable programs: Section 8 (Project Based Rental Assistance), </w:t>
      </w:r>
      <w:r w:rsidR="0034757A" w:rsidRPr="000E1DE0">
        <w:rPr>
          <w:u w:val="none"/>
        </w:rPr>
        <w:t>Section 202/8, Section 202/</w:t>
      </w:r>
      <w:r w:rsidR="006A5744" w:rsidRPr="000E1DE0">
        <w:rPr>
          <w:u w:val="none"/>
        </w:rPr>
        <w:t>811 PRAC</w:t>
      </w:r>
      <w:r w:rsidR="0034757A" w:rsidRPr="000E1DE0">
        <w:rPr>
          <w:u w:val="none"/>
        </w:rPr>
        <w:t>, Section 811 PRA, SPRAC</w:t>
      </w:r>
    </w:p>
    <w:p w14:paraId="6148C409" w14:textId="77777777" w:rsidR="00FE082E" w:rsidRPr="000E1DE0" w:rsidRDefault="00FE082E" w:rsidP="008E397B">
      <w:pPr>
        <w:ind w:left="720" w:right="180"/>
        <w:jc w:val="both"/>
        <w:rPr>
          <w:u w:val="none"/>
        </w:rPr>
      </w:pPr>
    </w:p>
    <w:p w14:paraId="3F956755" w14:textId="77777777" w:rsidR="00BD4F78" w:rsidRPr="000E1DE0" w:rsidRDefault="00BD4F78" w:rsidP="008E397B">
      <w:pPr>
        <w:ind w:left="720" w:right="180"/>
        <w:jc w:val="both"/>
        <w:rPr>
          <w:u w:val="none"/>
        </w:rPr>
      </w:pPr>
      <w:r w:rsidRPr="000E1DE0">
        <w:rPr>
          <w:u w:val="none"/>
        </w:rPr>
        <w:t xml:space="preserve">A family may request an interim determination of family income for any change since the last determination. However, the </w:t>
      </w:r>
      <w:r w:rsidR="00C45251" w:rsidRPr="000E1DE0">
        <w:rPr>
          <w:u w:val="none"/>
        </w:rPr>
        <w:t>Agent</w:t>
      </w:r>
      <w:r w:rsidRPr="000E1DE0">
        <w:rPr>
          <w:u w:val="none"/>
        </w:rPr>
        <w:t xml:space="preserve"> may decline to conduct an interim reexamination of family income if the </w:t>
      </w:r>
      <w:r w:rsidR="00C45251" w:rsidRPr="000E1DE0">
        <w:rPr>
          <w:u w:val="none"/>
        </w:rPr>
        <w:t>Agent</w:t>
      </w:r>
      <w:r w:rsidRPr="000E1DE0">
        <w:rPr>
          <w:u w:val="none"/>
        </w:rPr>
        <w:t xml:space="preserve"> estimates that the family’s adjusted income will decrease by an amount that is less than 10 percent of the family’s annual adjusted income. </w:t>
      </w:r>
    </w:p>
    <w:p w14:paraId="61AA0E74" w14:textId="77777777" w:rsidR="00826E17" w:rsidRPr="000E1DE0" w:rsidRDefault="00826E17" w:rsidP="008E397B">
      <w:pPr>
        <w:ind w:left="720" w:right="180"/>
        <w:jc w:val="both"/>
        <w:rPr>
          <w:u w:val="none"/>
        </w:rPr>
      </w:pPr>
    </w:p>
    <w:p w14:paraId="53F96B88" w14:textId="77777777" w:rsidR="00826E17" w:rsidRPr="000E1DE0" w:rsidRDefault="00760386" w:rsidP="008E397B">
      <w:pPr>
        <w:ind w:left="720" w:right="180"/>
        <w:jc w:val="both"/>
        <w:rPr>
          <w:u w:val="none"/>
        </w:rPr>
      </w:pPr>
      <w:r w:rsidRPr="000E1DE0">
        <w:rPr>
          <w:u w:val="none"/>
        </w:rPr>
        <w:t xml:space="preserve">The </w:t>
      </w:r>
      <w:r w:rsidR="00090F95" w:rsidRPr="000E1DE0">
        <w:rPr>
          <w:u w:val="none"/>
        </w:rPr>
        <w:t xml:space="preserve">Agent </w:t>
      </w:r>
      <w:r w:rsidR="00641DB9" w:rsidRPr="000E1DE0">
        <w:rPr>
          <w:u w:val="none"/>
        </w:rPr>
        <w:t xml:space="preserve">must conduct an interim reexamination of family income when the </w:t>
      </w:r>
      <w:r w:rsidR="00C45251" w:rsidRPr="000E1DE0">
        <w:rPr>
          <w:u w:val="none"/>
        </w:rPr>
        <w:t>Agent</w:t>
      </w:r>
      <w:r w:rsidR="00641DB9" w:rsidRPr="000E1DE0">
        <w:rPr>
          <w:u w:val="none"/>
        </w:rPr>
        <w:t xml:space="preserve"> becomes aware that a family’s annual adjusted income has changed by an amount that the </w:t>
      </w:r>
      <w:r w:rsidR="00C45251" w:rsidRPr="000E1DE0">
        <w:rPr>
          <w:u w:val="none"/>
        </w:rPr>
        <w:t>Agent</w:t>
      </w:r>
      <w:r w:rsidR="00641DB9" w:rsidRPr="000E1DE0">
        <w:rPr>
          <w:u w:val="none"/>
        </w:rPr>
        <w:t xml:space="preserve"> estimates will result in a decrease of 10 percent or more in annual adjusted income or a lower threshold set by HUD or by </w:t>
      </w:r>
      <w:r w:rsidR="001E092D" w:rsidRPr="000E1DE0">
        <w:rPr>
          <w:u w:val="none"/>
        </w:rPr>
        <w:t>an</w:t>
      </w:r>
      <w:r w:rsidR="00641DB9" w:rsidRPr="000E1DE0">
        <w:rPr>
          <w:u w:val="none"/>
        </w:rPr>
        <w:t xml:space="preserve"> </w:t>
      </w:r>
      <w:r w:rsidR="00C45251" w:rsidRPr="000E1DE0">
        <w:rPr>
          <w:u w:val="none"/>
        </w:rPr>
        <w:t>Agent</w:t>
      </w:r>
      <w:r w:rsidR="00641DB9" w:rsidRPr="000E1DE0">
        <w:rPr>
          <w:u w:val="none"/>
        </w:rPr>
        <w:t>. In addition to decreases in family income, increases in deductions may produce a sufficient decrease in adjusted income to support an interim reexamination.</w:t>
      </w:r>
    </w:p>
    <w:p w14:paraId="229F0FC2" w14:textId="77777777" w:rsidR="00806DA7" w:rsidRPr="000E1DE0" w:rsidRDefault="00806DA7" w:rsidP="008E397B">
      <w:pPr>
        <w:ind w:left="2070" w:right="180" w:hanging="630"/>
        <w:jc w:val="both"/>
        <w:rPr>
          <w:u w:val="none"/>
        </w:rPr>
      </w:pPr>
    </w:p>
    <w:p w14:paraId="4B2C46AA" w14:textId="77777777" w:rsidR="00497029" w:rsidRPr="000E1DE0" w:rsidRDefault="00090F95" w:rsidP="008E397B">
      <w:pPr>
        <w:ind w:left="720" w:right="180"/>
        <w:jc w:val="both"/>
        <w:rPr>
          <w:u w:val="none"/>
        </w:rPr>
      </w:pPr>
      <w:r w:rsidRPr="000E1DE0">
        <w:rPr>
          <w:u w:val="none"/>
        </w:rPr>
        <w:t xml:space="preserve">The Agent </w:t>
      </w:r>
      <w:r w:rsidR="00A51AE5" w:rsidRPr="000E1DE0">
        <w:rPr>
          <w:u w:val="none"/>
        </w:rPr>
        <w:t>is</w:t>
      </w:r>
      <w:r w:rsidR="003F0552" w:rsidRPr="000E1DE0">
        <w:rPr>
          <w:u w:val="none"/>
        </w:rPr>
        <w:t xml:space="preserve"> required by HUD to process interim reexaminations for all decreases in adjusted income </w:t>
      </w:r>
      <w:proofErr w:type="gramStart"/>
      <w:r w:rsidR="00DD1FA5" w:rsidRPr="000E1DE0">
        <w:rPr>
          <w:u w:val="none"/>
        </w:rPr>
        <w:t>as a result of</w:t>
      </w:r>
      <w:proofErr w:type="gramEnd"/>
      <w:r w:rsidR="00DD1FA5" w:rsidRPr="000E1DE0">
        <w:rPr>
          <w:u w:val="none"/>
        </w:rPr>
        <w:t xml:space="preserve"> a decrease in family size attributed to the death or permanent move-out of a household member from the assisted unit.</w:t>
      </w:r>
    </w:p>
    <w:p w14:paraId="7C9FC2A4" w14:textId="77777777" w:rsidR="00D36767" w:rsidRPr="000E1DE0" w:rsidRDefault="00D36767" w:rsidP="008E397B">
      <w:pPr>
        <w:ind w:left="720" w:right="180"/>
        <w:jc w:val="center"/>
        <w:rPr>
          <w:u w:val="none"/>
        </w:rPr>
      </w:pPr>
    </w:p>
    <w:p w14:paraId="17FB1A72" w14:textId="77777777" w:rsidR="00166E5E" w:rsidRPr="000E1DE0" w:rsidRDefault="00166E5E" w:rsidP="008E397B">
      <w:pPr>
        <w:ind w:left="720" w:right="180"/>
        <w:jc w:val="both"/>
        <w:rPr>
          <w:b/>
          <w:bCs/>
          <w:u w:val="none"/>
        </w:rPr>
      </w:pPr>
      <w:r w:rsidRPr="000E1DE0">
        <w:rPr>
          <w:b/>
          <w:bCs/>
          <w:u w:val="none"/>
        </w:rPr>
        <w:t>Agent’s Discretionary Policy</w:t>
      </w:r>
    </w:p>
    <w:p w14:paraId="17324D7A" w14:textId="77777777" w:rsidR="003F0552" w:rsidRPr="000E1DE0" w:rsidRDefault="003F0552" w:rsidP="008E397B">
      <w:pPr>
        <w:ind w:left="720" w:right="180"/>
        <w:jc w:val="both"/>
        <w:rPr>
          <w:u w:val="none"/>
        </w:rPr>
      </w:pPr>
    </w:p>
    <w:p w14:paraId="7FD2EE6C" w14:textId="77777777" w:rsidR="00A32C6F" w:rsidRPr="000E1DE0" w:rsidRDefault="00090F95" w:rsidP="008E397B">
      <w:pPr>
        <w:ind w:left="720" w:right="180"/>
        <w:jc w:val="both"/>
        <w:rPr>
          <w:u w:val="none"/>
        </w:rPr>
      </w:pPr>
      <w:r w:rsidRPr="000E1DE0">
        <w:rPr>
          <w:u w:val="none"/>
        </w:rPr>
        <w:t xml:space="preserve">The Agent </w:t>
      </w:r>
      <w:r w:rsidR="00A32C6F" w:rsidRPr="000E1DE0">
        <w:rPr>
          <w:u w:val="none"/>
        </w:rPr>
        <w:t xml:space="preserve">may decline to conduct an interim reexamination of family income if the </w:t>
      </w:r>
      <w:r w:rsidR="00C45251" w:rsidRPr="000E1DE0">
        <w:rPr>
          <w:u w:val="none"/>
        </w:rPr>
        <w:t>Agent</w:t>
      </w:r>
      <w:r w:rsidR="00A32C6F" w:rsidRPr="000E1DE0">
        <w:rPr>
          <w:u w:val="none"/>
        </w:rPr>
        <w:t xml:space="preserve"> estimates that the family’s annual adjusted income will decrease by an amount that is less than ten percent of the family’s annual adjusted income, or such lower threshold established by the </w:t>
      </w:r>
      <w:r w:rsidR="00C45251" w:rsidRPr="000E1DE0">
        <w:rPr>
          <w:u w:val="none"/>
        </w:rPr>
        <w:t>Agent</w:t>
      </w:r>
      <w:r w:rsidR="00A32C6F" w:rsidRPr="000E1DE0">
        <w:rPr>
          <w:u w:val="none"/>
        </w:rPr>
        <w:t>.</w:t>
      </w:r>
    </w:p>
    <w:p w14:paraId="5A11B2C6" w14:textId="77777777" w:rsidR="006B475F" w:rsidRPr="000E1DE0" w:rsidRDefault="006B475F" w:rsidP="008E397B">
      <w:pPr>
        <w:ind w:left="720" w:right="180"/>
        <w:jc w:val="both"/>
        <w:rPr>
          <w:u w:val="none"/>
        </w:rPr>
      </w:pPr>
    </w:p>
    <w:p w14:paraId="74043469" w14:textId="77777777" w:rsidR="00471066" w:rsidRPr="000E1DE0" w:rsidRDefault="00471066" w:rsidP="008E397B">
      <w:pPr>
        <w:ind w:left="720" w:right="180"/>
        <w:jc w:val="both"/>
        <w:rPr>
          <w:u w:val="none"/>
        </w:rPr>
      </w:pPr>
      <w:r w:rsidRPr="000E1DE0">
        <w:rPr>
          <w:u w:val="none"/>
        </w:rPr>
        <w:t>Will the Agent conduct an interim reexamination of family income if the Agent estimates that the family’s annual adjusted income will decrease by an amount that is less than ten percent?</w:t>
      </w:r>
    </w:p>
    <w:p w14:paraId="605BA238" w14:textId="77777777" w:rsidR="00ED5853" w:rsidRPr="000E1DE0" w:rsidRDefault="00ED5853" w:rsidP="008E397B">
      <w:pPr>
        <w:ind w:left="720" w:right="180"/>
        <w:jc w:val="both"/>
        <w:rPr>
          <w:u w:val="none"/>
        </w:rPr>
      </w:pPr>
    </w:p>
    <w:p w14:paraId="366B24C6" w14:textId="77777777" w:rsidR="00D44F75" w:rsidRPr="000E1DE0" w:rsidRDefault="00962582" w:rsidP="008E397B">
      <w:pPr>
        <w:ind w:left="1440" w:right="180" w:hanging="450"/>
        <w:jc w:val="both"/>
        <w:rPr>
          <w:u w:val="none"/>
        </w:rPr>
      </w:pPr>
      <w:sdt>
        <w:sdtPr>
          <w:rPr>
            <w:u w:val="none"/>
          </w:rPr>
          <w:id w:val="-1053390486"/>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D44F75" w:rsidRPr="000E1DE0">
        <w:rPr>
          <w:u w:val="none"/>
        </w:rPr>
        <w:tab/>
        <w:t>Yes</w:t>
      </w:r>
    </w:p>
    <w:p w14:paraId="476E7F05" w14:textId="77777777" w:rsidR="00D44F75" w:rsidRPr="000E1DE0" w:rsidRDefault="00962582" w:rsidP="008E397B">
      <w:pPr>
        <w:ind w:left="1440" w:right="180" w:hanging="450"/>
        <w:jc w:val="both"/>
        <w:rPr>
          <w:u w:val="none"/>
        </w:rPr>
      </w:pPr>
      <w:sdt>
        <w:sdtPr>
          <w:rPr>
            <w:u w:val="none"/>
          </w:rPr>
          <w:id w:val="-1780401239"/>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D44F75" w:rsidRPr="000E1DE0">
        <w:rPr>
          <w:u w:val="none"/>
        </w:rPr>
        <w:tab/>
        <w:t>No</w:t>
      </w:r>
    </w:p>
    <w:p w14:paraId="750BBA68" w14:textId="77777777" w:rsidR="00471066" w:rsidRPr="000E1DE0" w:rsidRDefault="00471066" w:rsidP="008E397B">
      <w:pPr>
        <w:ind w:left="720" w:right="180"/>
        <w:jc w:val="both"/>
        <w:rPr>
          <w:u w:val="none"/>
        </w:rPr>
      </w:pPr>
    </w:p>
    <w:p w14:paraId="5DFB0E95" w14:textId="439F109A" w:rsidR="00471066" w:rsidRPr="000E1DE0" w:rsidRDefault="00471066" w:rsidP="008E397B">
      <w:pPr>
        <w:ind w:left="720" w:right="180"/>
        <w:jc w:val="both"/>
        <w:rPr>
          <w:u w:val="none"/>
        </w:rPr>
      </w:pPr>
      <w:r w:rsidRPr="000E1DE0">
        <w:rPr>
          <w:u w:val="none"/>
        </w:rPr>
        <w:t xml:space="preserve">If, yes, what percentage threshold will be used by the Agent in determining whether to decline conducting interim reexamination for decreases in a family’s adjusted income? </w:t>
      </w:r>
      <w:r w:rsidR="00F44C63" w:rsidRPr="000E1DE0">
        <w:rPr>
          <w14:ligatures w14:val="none"/>
        </w:rPr>
        <w:object w:dxaOrig="1440" w:dyaOrig="1440" w14:anchorId="453D8696">
          <v:shape id="_x0000_i1079" type="#_x0000_t75" style="width:27pt;height:16.5pt" o:ole="">
            <v:imagedata r:id="rId30" o:title=""/>
          </v:shape>
          <w:control r:id="rId31" w:name="TextBox11111111111111114" w:shapeid="_x0000_i1079"/>
        </w:object>
      </w:r>
    </w:p>
    <w:p w14:paraId="036B4C10" w14:textId="77777777" w:rsidR="00F44C63" w:rsidRPr="000E1DE0" w:rsidRDefault="00F44C63" w:rsidP="008E397B">
      <w:pPr>
        <w:ind w:left="720" w:right="180"/>
        <w:jc w:val="both"/>
        <w:rPr>
          <w:u w:val="none"/>
        </w:rPr>
      </w:pPr>
    </w:p>
    <w:p w14:paraId="4651C4CC" w14:textId="77777777" w:rsidR="001708DE" w:rsidRPr="000E1DE0" w:rsidRDefault="000F1192" w:rsidP="008E397B">
      <w:pPr>
        <w:ind w:left="720" w:right="180"/>
        <w:jc w:val="both"/>
        <w:rPr>
          <w:u w:val="none"/>
        </w:rPr>
      </w:pPr>
      <w:r w:rsidRPr="000E1DE0">
        <w:rPr>
          <w:u w:val="none"/>
        </w:rPr>
        <w:t xml:space="preserve">Will </w:t>
      </w:r>
      <w:r w:rsidR="00090F95" w:rsidRPr="000E1DE0">
        <w:rPr>
          <w:u w:val="none"/>
        </w:rPr>
        <w:t xml:space="preserve">the Agent </w:t>
      </w:r>
      <w:r w:rsidRPr="000E1DE0">
        <w:rPr>
          <w:u w:val="none"/>
        </w:rPr>
        <w:t>round calculated percentage decreases up or down to the nearest unit (e.g., a calculated decrease of 9.5% may be rounded up to 10%)</w:t>
      </w:r>
      <w:r w:rsidR="00561EA1" w:rsidRPr="000E1DE0">
        <w:rPr>
          <w:u w:val="none"/>
        </w:rPr>
        <w:t>?</w:t>
      </w:r>
      <w:r w:rsidR="006A5744" w:rsidRPr="000E1DE0">
        <w:rPr>
          <w:u w:val="none"/>
        </w:rPr>
        <w:t xml:space="preserve"> </w:t>
      </w:r>
      <w:r w:rsidR="006A5744" w:rsidRPr="000E1DE0">
        <w:rPr>
          <w:i/>
          <w:iCs/>
          <w:u w:val="none"/>
        </w:rPr>
        <w:t>(check as applicable)</w:t>
      </w:r>
    </w:p>
    <w:p w14:paraId="49F7AEC9" w14:textId="77777777" w:rsidR="00557D52" w:rsidRPr="000E1DE0" w:rsidRDefault="00557D52" w:rsidP="008E397B">
      <w:pPr>
        <w:ind w:left="720" w:right="180"/>
        <w:jc w:val="both"/>
        <w:rPr>
          <w:u w:val="none"/>
        </w:rPr>
      </w:pPr>
      <w:bookmarkStart w:id="29" w:name="_Hlk154675523"/>
    </w:p>
    <w:p w14:paraId="3DF92558" w14:textId="77777777" w:rsidR="003F0552" w:rsidRPr="000E1DE0" w:rsidRDefault="00835AEC" w:rsidP="008E397B">
      <w:pPr>
        <w:ind w:left="1080" w:right="180" w:hanging="360"/>
        <w:jc w:val="both"/>
        <w:rPr>
          <w:u w:val="none"/>
        </w:rPr>
      </w:pPr>
      <w:r w:rsidRPr="000E1DE0">
        <w:rPr>
          <w:u w:val="none"/>
        </w:rPr>
        <w:tab/>
      </w:r>
      <w:sdt>
        <w:sdtPr>
          <w:rPr>
            <w:u w:val="none"/>
          </w:rPr>
          <w:id w:val="-1216425507"/>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6B475F" w:rsidRPr="000E1DE0">
        <w:rPr>
          <w:u w:val="none"/>
        </w:rPr>
        <w:t>Y</w:t>
      </w:r>
      <w:r w:rsidR="000F1192" w:rsidRPr="000E1DE0">
        <w:rPr>
          <w:u w:val="none"/>
        </w:rPr>
        <w:t>es</w:t>
      </w:r>
      <w:r w:rsidR="00502D9F" w:rsidRPr="000E1DE0">
        <w:rPr>
          <w:u w:val="none"/>
        </w:rPr>
        <w:t>:</w:t>
      </w:r>
    </w:p>
    <w:p w14:paraId="1A1A7005" w14:textId="77777777" w:rsidR="00502D9F" w:rsidRPr="000E1DE0" w:rsidRDefault="00962582" w:rsidP="008E397B">
      <w:pPr>
        <w:tabs>
          <w:tab w:val="left" w:pos="2340"/>
        </w:tabs>
        <w:ind w:left="1980" w:right="180"/>
        <w:jc w:val="both"/>
        <w:rPr>
          <w:u w:val="none"/>
        </w:rPr>
      </w:pPr>
      <w:sdt>
        <w:sdtPr>
          <w:rPr>
            <w:u w:val="none"/>
          </w:rPr>
          <w:id w:val="-1651427428"/>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502D9F" w:rsidRPr="000E1DE0">
        <w:rPr>
          <w:u w:val="none"/>
        </w:rPr>
        <w:t>Round Up</w:t>
      </w:r>
    </w:p>
    <w:p w14:paraId="03483B7F" w14:textId="77777777" w:rsidR="00502D9F" w:rsidRPr="000E1DE0" w:rsidRDefault="00962582" w:rsidP="008E397B">
      <w:pPr>
        <w:tabs>
          <w:tab w:val="left" w:pos="2340"/>
        </w:tabs>
        <w:ind w:left="1980" w:right="180"/>
        <w:jc w:val="both"/>
        <w:rPr>
          <w:u w:val="none"/>
        </w:rPr>
      </w:pPr>
      <w:sdt>
        <w:sdtPr>
          <w:rPr>
            <w:u w:val="none"/>
          </w:rPr>
          <w:id w:val="-576976941"/>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502D9F" w:rsidRPr="000E1DE0">
        <w:rPr>
          <w:u w:val="none"/>
        </w:rPr>
        <w:t>Round Down</w:t>
      </w:r>
    </w:p>
    <w:p w14:paraId="051F3C26" w14:textId="77777777" w:rsidR="000F1192" w:rsidRPr="000E1DE0" w:rsidRDefault="00962582" w:rsidP="008E397B">
      <w:pPr>
        <w:ind w:left="1080" w:right="180"/>
        <w:jc w:val="both"/>
        <w:rPr>
          <w:b/>
          <w:bCs/>
          <w:u w:val="none"/>
        </w:rPr>
      </w:pPr>
      <w:sdt>
        <w:sdtPr>
          <w:rPr>
            <w:u w:val="none"/>
          </w:rPr>
          <w:id w:val="926623382"/>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0F1192" w:rsidRPr="000E1DE0">
        <w:rPr>
          <w:u w:val="none"/>
        </w:rPr>
        <w:t>No</w:t>
      </w:r>
    </w:p>
    <w:bookmarkEnd w:id="29"/>
    <w:p w14:paraId="1A533C73" w14:textId="77777777" w:rsidR="007B6176" w:rsidRPr="000E1DE0" w:rsidRDefault="007B6176" w:rsidP="008E397B">
      <w:pPr>
        <w:ind w:right="180"/>
        <w:jc w:val="both"/>
        <w:rPr>
          <w:b/>
          <w:bCs/>
          <w:u w:val="none"/>
        </w:rPr>
      </w:pPr>
    </w:p>
    <w:p w14:paraId="0642CC8E" w14:textId="77777777" w:rsidR="001708DE" w:rsidRPr="000E1DE0" w:rsidRDefault="00D349F2" w:rsidP="00FE0C37">
      <w:pPr>
        <w:pStyle w:val="ListParagraph"/>
        <w:numPr>
          <w:ilvl w:val="0"/>
          <w:numId w:val="6"/>
        </w:numPr>
        <w:ind w:right="180" w:hanging="450"/>
        <w:jc w:val="both"/>
        <w:rPr>
          <w:b/>
          <w:bCs/>
        </w:rPr>
      </w:pPr>
      <w:r w:rsidRPr="000E1DE0">
        <w:rPr>
          <w:b/>
          <w:bCs/>
        </w:rPr>
        <w:t>Interim Reexaminations - Increases in Adjusted Income</w:t>
      </w:r>
    </w:p>
    <w:p w14:paraId="4BAE2470" w14:textId="77777777" w:rsidR="00E613BE" w:rsidRPr="000E1DE0" w:rsidRDefault="00E613BE" w:rsidP="008E397B">
      <w:pPr>
        <w:ind w:right="180"/>
        <w:jc w:val="both"/>
        <w:rPr>
          <w:u w:val="none"/>
        </w:rPr>
      </w:pPr>
      <w:bookmarkStart w:id="30" w:name="_Hlk152152052"/>
    </w:p>
    <w:p w14:paraId="72B8AB66" w14:textId="77777777" w:rsidR="000D7DDC" w:rsidRPr="000E1DE0" w:rsidRDefault="000D7DDC" w:rsidP="008E397B">
      <w:pPr>
        <w:ind w:left="720" w:right="180"/>
        <w:jc w:val="both"/>
        <w:rPr>
          <w:u w:val="none"/>
        </w:rPr>
      </w:pPr>
      <w:r w:rsidRPr="000E1DE0">
        <w:rPr>
          <w:u w:val="none"/>
        </w:rPr>
        <w:t xml:space="preserve">Regulations: </w:t>
      </w:r>
      <w:r w:rsidR="00646BEC" w:rsidRPr="000E1DE0">
        <w:rPr>
          <w:u w:val="none"/>
        </w:rPr>
        <w:t>24 CFR §§ 5.657(c)(3); 891.105; 891.410(g)(2); and 891.610(g)(2)</w:t>
      </w:r>
    </w:p>
    <w:p w14:paraId="31944DF5" w14:textId="77777777" w:rsidR="00646BEC" w:rsidRPr="000E1DE0" w:rsidRDefault="00646BEC" w:rsidP="008E397B">
      <w:pPr>
        <w:ind w:left="720" w:right="180"/>
        <w:jc w:val="both"/>
        <w:rPr>
          <w:u w:val="none"/>
        </w:rPr>
      </w:pPr>
    </w:p>
    <w:p w14:paraId="217F8B0B"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3505F313" w14:textId="77777777" w:rsidR="00351772" w:rsidRPr="000E1DE0" w:rsidRDefault="00351772" w:rsidP="008E397B">
      <w:pPr>
        <w:ind w:left="720" w:right="180"/>
        <w:jc w:val="both"/>
        <w:rPr>
          <w:u w:val="none"/>
        </w:rPr>
      </w:pPr>
    </w:p>
    <w:p w14:paraId="404ADDB8" w14:textId="77777777" w:rsidR="00AB0BD4" w:rsidRPr="000E1DE0" w:rsidRDefault="00644169" w:rsidP="008E397B">
      <w:pPr>
        <w:ind w:left="720" w:right="180"/>
        <w:jc w:val="both"/>
        <w:rPr>
          <w:u w:val="none"/>
        </w:rPr>
      </w:pPr>
      <w:r w:rsidRPr="000E1DE0">
        <w:rPr>
          <w:u w:val="none"/>
        </w:rPr>
        <w:t xml:space="preserve">The </w:t>
      </w:r>
      <w:r w:rsidR="00C45251" w:rsidRPr="000E1DE0">
        <w:rPr>
          <w:u w:val="none"/>
        </w:rPr>
        <w:t>Agent</w:t>
      </w:r>
      <w:r w:rsidR="00AB0BD4" w:rsidRPr="000E1DE0">
        <w:rPr>
          <w:u w:val="none"/>
        </w:rPr>
        <w:t xml:space="preserve"> must conduct an interim reexamination of family income when the </w:t>
      </w:r>
      <w:r w:rsidR="00C45251" w:rsidRPr="000E1DE0">
        <w:rPr>
          <w:u w:val="none"/>
        </w:rPr>
        <w:t>Agent</w:t>
      </w:r>
      <w:r w:rsidR="00AB0BD4" w:rsidRPr="000E1DE0">
        <w:rPr>
          <w:u w:val="none"/>
        </w:rPr>
        <w:t xml:space="preserve"> becomes aware that the family’s adjusted income has changed by an amount that the </w:t>
      </w:r>
      <w:r w:rsidR="00C45251" w:rsidRPr="000E1DE0">
        <w:rPr>
          <w:u w:val="none"/>
        </w:rPr>
        <w:t>Agent</w:t>
      </w:r>
      <w:r w:rsidR="00AB0BD4" w:rsidRPr="000E1DE0">
        <w:rPr>
          <w:u w:val="none"/>
        </w:rPr>
        <w:t xml:space="preserve"> estimates will result in an increase of 10 percent or more in annual adjusted income or another amount established through a HUD notice, with the following exceptions:</w:t>
      </w:r>
    </w:p>
    <w:p w14:paraId="1328B011" w14:textId="77777777" w:rsidR="00AB0BD4" w:rsidRPr="000E1DE0" w:rsidRDefault="00AB0BD4" w:rsidP="008E397B">
      <w:pPr>
        <w:ind w:left="720" w:right="180"/>
        <w:jc w:val="both"/>
        <w:rPr>
          <w:u w:val="none"/>
        </w:rPr>
      </w:pPr>
    </w:p>
    <w:p w14:paraId="1AF735F3" w14:textId="77777777" w:rsidR="00062500" w:rsidRPr="000E1DE0" w:rsidRDefault="00644169" w:rsidP="00FE0C37">
      <w:pPr>
        <w:pStyle w:val="ListParagraph"/>
        <w:numPr>
          <w:ilvl w:val="0"/>
          <w:numId w:val="3"/>
        </w:numPr>
        <w:ind w:left="1440" w:right="180" w:hanging="360"/>
        <w:jc w:val="both"/>
        <w:rPr>
          <w:u w:val="none"/>
        </w:rPr>
      </w:pPr>
      <w:r w:rsidRPr="000E1DE0">
        <w:rPr>
          <w:u w:val="none"/>
        </w:rPr>
        <w:t xml:space="preserve">The </w:t>
      </w:r>
      <w:r w:rsidR="00090F95" w:rsidRPr="000E1DE0">
        <w:rPr>
          <w:u w:val="none"/>
        </w:rPr>
        <w:t xml:space="preserve">Agent </w:t>
      </w:r>
      <w:r w:rsidR="00062500" w:rsidRPr="000E1DE0">
        <w:rPr>
          <w:u w:val="none"/>
        </w:rPr>
        <w:t>may not consider any increases in earned income when estimating or calculating whether the family’s adjusted income has increased, unless the family has previously received an interim reduction during the same reexamination cycle; and</w:t>
      </w:r>
    </w:p>
    <w:p w14:paraId="18DD607B" w14:textId="77777777" w:rsidR="00D45938" w:rsidRPr="000E1DE0" w:rsidRDefault="00D45938" w:rsidP="008E397B">
      <w:pPr>
        <w:pStyle w:val="ListParagraph"/>
        <w:ind w:left="1440" w:right="180"/>
        <w:jc w:val="both"/>
        <w:rPr>
          <w:u w:val="none"/>
        </w:rPr>
      </w:pPr>
    </w:p>
    <w:p w14:paraId="7FCB00CF" w14:textId="77777777" w:rsidR="00062500" w:rsidRPr="000E1DE0" w:rsidRDefault="00644169" w:rsidP="00FE0C37">
      <w:pPr>
        <w:pStyle w:val="ListParagraph"/>
        <w:numPr>
          <w:ilvl w:val="0"/>
          <w:numId w:val="3"/>
        </w:numPr>
        <w:ind w:left="1440" w:right="180" w:hanging="360"/>
        <w:jc w:val="both"/>
        <w:rPr>
          <w:u w:val="none"/>
        </w:rPr>
      </w:pPr>
      <w:r w:rsidRPr="000E1DE0">
        <w:rPr>
          <w:u w:val="none"/>
        </w:rPr>
        <w:t xml:space="preserve">The </w:t>
      </w:r>
      <w:r w:rsidR="00090F95" w:rsidRPr="000E1DE0">
        <w:rPr>
          <w:u w:val="none"/>
        </w:rPr>
        <w:t xml:space="preserve">Agent </w:t>
      </w:r>
      <w:r w:rsidR="00062500" w:rsidRPr="000E1DE0">
        <w:rPr>
          <w:u w:val="none"/>
        </w:rPr>
        <w:t>may choose not to conduct an interim reexamination during the last three months of a certification period if a family reports an increase in income within three months of the next annual reexamination effective date.</w:t>
      </w:r>
    </w:p>
    <w:bookmarkEnd w:id="30"/>
    <w:p w14:paraId="29EAF2E5" w14:textId="77777777" w:rsidR="00CE4512" w:rsidRPr="000E1DE0" w:rsidRDefault="00CE4512" w:rsidP="008E397B">
      <w:pPr>
        <w:ind w:left="720" w:right="180"/>
        <w:jc w:val="both"/>
        <w:rPr>
          <w:u w:val="none"/>
        </w:rPr>
      </w:pPr>
    </w:p>
    <w:p w14:paraId="35751209" w14:textId="77777777" w:rsidR="0039473F" w:rsidRPr="000E1DE0" w:rsidRDefault="00644169" w:rsidP="008E397B">
      <w:pPr>
        <w:ind w:left="720" w:right="180"/>
        <w:jc w:val="both"/>
        <w:rPr>
          <w:u w:val="none"/>
        </w:rPr>
      </w:pPr>
      <w:r w:rsidRPr="000E1DE0">
        <w:rPr>
          <w:u w:val="none"/>
        </w:rPr>
        <w:t xml:space="preserve">The </w:t>
      </w:r>
      <w:r w:rsidR="00090F95" w:rsidRPr="000E1DE0">
        <w:rPr>
          <w:u w:val="none"/>
        </w:rPr>
        <w:t xml:space="preserve">Agent </w:t>
      </w:r>
      <w:r w:rsidR="0039473F" w:rsidRPr="000E1DE0">
        <w:rPr>
          <w:u w:val="none"/>
        </w:rPr>
        <w:t xml:space="preserve">must not process interim reexaminations for income increases that result in less than a 10-percent increase in annual adjusted income. When the family previously received an interim reexamination for a decrease to annual adjusted income during the same annual cycle, </w:t>
      </w:r>
      <w:r w:rsidR="00D92BD4" w:rsidRPr="000E1DE0">
        <w:rPr>
          <w:u w:val="none"/>
        </w:rPr>
        <w:t>an</w:t>
      </w:r>
      <w:r w:rsidR="0039473F" w:rsidRPr="000E1DE0">
        <w:rPr>
          <w:u w:val="none"/>
        </w:rPr>
        <w:t xml:space="preserve"> </w:t>
      </w:r>
      <w:r w:rsidR="00C45251" w:rsidRPr="000E1DE0">
        <w:rPr>
          <w:u w:val="none"/>
        </w:rPr>
        <w:t>Agent</w:t>
      </w:r>
      <w:r w:rsidR="0039473F" w:rsidRPr="000E1DE0">
        <w:rPr>
          <w:u w:val="none"/>
        </w:rPr>
        <w:t xml:space="preserve"> has the discretion to consider or ignore a subsequent increase in earned income for the purposes of conducting an interim reexamination. If </w:t>
      </w:r>
      <w:r w:rsidR="00D92BD4" w:rsidRPr="000E1DE0">
        <w:rPr>
          <w:u w:val="none"/>
        </w:rPr>
        <w:t>an</w:t>
      </w:r>
      <w:r w:rsidR="0039473F" w:rsidRPr="000E1DE0">
        <w:rPr>
          <w:u w:val="none"/>
        </w:rPr>
        <w:t xml:space="preserve"> </w:t>
      </w:r>
      <w:r w:rsidR="00C45251" w:rsidRPr="000E1DE0">
        <w:rPr>
          <w:u w:val="none"/>
        </w:rPr>
        <w:t>Agent</w:t>
      </w:r>
      <w:r w:rsidR="0039473F" w:rsidRPr="000E1DE0">
        <w:rPr>
          <w:u w:val="none"/>
        </w:rPr>
        <w:t xml:space="preserve"> has a policy of considering increases in earned income after an interim conducted for a decrease in income, and the family’s adjusted income has increased by 10 percent or more, the </w:t>
      </w:r>
      <w:r w:rsidR="00C45251" w:rsidRPr="000E1DE0">
        <w:rPr>
          <w:u w:val="none"/>
        </w:rPr>
        <w:t>Agent</w:t>
      </w:r>
      <w:r w:rsidR="0039473F" w:rsidRPr="000E1DE0">
        <w:rPr>
          <w:u w:val="none"/>
        </w:rPr>
        <w:t xml:space="preserve"> must conduct an interim reexamination in accordance with local policies. </w:t>
      </w:r>
      <w:r w:rsidR="0039473F" w:rsidRPr="000E1DE0">
        <w:rPr>
          <w:u w:val="none"/>
        </w:rPr>
        <w:lastRenderedPageBreak/>
        <w:t xml:space="preserve">Conversely, </w:t>
      </w:r>
      <w:r w:rsidR="00090F95" w:rsidRPr="000E1DE0">
        <w:rPr>
          <w:u w:val="none"/>
        </w:rPr>
        <w:t xml:space="preserve">the Agent </w:t>
      </w:r>
      <w:r w:rsidR="0039473F" w:rsidRPr="000E1DE0">
        <w:rPr>
          <w:u w:val="none"/>
        </w:rPr>
        <w:t xml:space="preserve">that adopt local policies to never consider increases in earned income must not perform an interim reexamination. </w:t>
      </w:r>
    </w:p>
    <w:p w14:paraId="6741AAC0" w14:textId="77777777" w:rsidR="00D73396" w:rsidRPr="000E1DE0" w:rsidRDefault="00D73396" w:rsidP="008E397B">
      <w:pPr>
        <w:ind w:left="720" w:right="180"/>
        <w:jc w:val="both"/>
        <w:rPr>
          <w:u w:val="none"/>
        </w:rPr>
      </w:pPr>
    </w:p>
    <w:p w14:paraId="5D406C87" w14:textId="77777777" w:rsidR="0039473F" w:rsidRPr="000E1DE0" w:rsidRDefault="0039473F" w:rsidP="008E397B">
      <w:pPr>
        <w:ind w:left="720" w:right="180"/>
        <w:jc w:val="both"/>
        <w:rPr>
          <w:u w:val="none"/>
        </w:rPr>
      </w:pPr>
      <w:r w:rsidRPr="000E1DE0">
        <w:rPr>
          <w:u w:val="none"/>
        </w:rPr>
        <w:t xml:space="preserve">A series of smaller reported increases in adjusted income may cumulatively meet or exceed the 10-percent increase threshold, at which point the </w:t>
      </w:r>
      <w:r w:rsidR="00C45251" w:rsidRPr="000E1DE0">
        <w:rPr>
          <w:u w:val="none"/>
        </w:rPr>
        <w:t>Agent</w:t>
      </w:r>
      <w:r w:rsidRPr="000E1DE0">
        <w:rPr>
          <w:u w:val="none"/>
        </w:rPr>
        <w:t xml:space="preserve"> must conduct an interim reexamination. When an increase of any size is reported by a family, it is a recommended best practice for the </w:t>
      </w:r>
      <w:r w:rsidR="00C45251" w:rsidRPr="000E1DE0">
        <w:rPr>
          <w:u w:val="none"/>
        </w:rPr>
        <w:t>Agent</w:t>
      </w:r>
      <w:r w:rsidRPr="000E1DE0">
        <w:rPr>
          <w:u w:val="none"/>
        </w:rPr>
        <w:t xml:space="preserve"> to note the reported increase in the tenant file.</w:t>
      </w:r>
    </w:p>
    <w:p w14:paraId="0B905CA6" w14:textId="77777777" w:rsidR="0039473F" w:rsidRPr="000E1DE0" w:rsidRDefault="0039473F" w:rsidP="008E397B">
      <w:pPr>
        <w:ind w:left="720" w:right="180"/>
        <w:jc w:val="both"/>
        <w:rPr>
          <w:u w:val="none"/>
        </w:rPr>
      </w:pPr>
    </w:p>
    <w:p w14:paraId="3C3F0B78" w14:textId="77777777" w:rsidR="00D349F2" w:rsidRPr="000E1DE0" w:rsidRDefault="00C11C12" w:rsidP="008E397B">
      <w:pPr>
        <w:ind w:left="720" w:right="180"/>
        <w:jc w:val="both"/>
        <w:rPr>
          <w:u w:val="none"/>
        </w:rPr>
      </w:pPr>
      <w:r w:rsidRPr="000E1DE0">
        <w:rPr>
          <w:u w:val="none"/>
        </w:rPr>
        <w:t xml:space="preserve">The </w:t>
      </w:r>
      <w:r w:rsidR="00090F95" w:rsidRPr="000E1DE0">
        <w:rPr>
          <w:u w:val="none"/>
        </w:rPr>
        <w:t xml:space="preserve">Agent </w:t>
      </w:r>
      <w:r w:rsidR="00D349F2" w:rsidRPr="000E1DE0">
        <w:rPr>
          <w:u w:val="none"/>
        </w:rPr>
        <w:t xml:space="preserve">must conduct an interim reexamination of family income when they become aware </w:t>
      </w:r>
      <w:r w:rsidR="00634635" w:rsidRPr="000E1DE0">
        <w:rPr>
          <w:u w:val="none"/>
        </w:rPr>
        <w:t>t</w:t>
      </w:r>
      <w:r w:rsidR="00D349F2" w:rsidRPr="000E1DE0">
        <w:rPr>
          <w:u w:val="none"/>
        </w:rPr>
        <w:t>hat the family’s annual adjusted income has changed by an amount that would result in an estimated increase of ten percent or more in annual adjusted</w:t>
      </w:r>
      <w:r w:rsidR="00803319" w:rsidRPr="000E1DE0">
        <w:rPr>
          <w:u w:val="none"/>
        </w:rPr>
        <w:t xml:space="preserve"> income or another amount established through a HUD notice, except </w:t>
      </w:r>
      <w:r w:rsidR="00090F95" w:rsidRPr="000E1DE0">
        <w:rPr>
          <w:u w:val="none"/>
        </w:rPr>
        <w:t xml:space="preserve">the Agent </w:t>
      </w:r>
      <w:r w:rsidR="00803319" w:rsidRPr="000E1DE0">
        <w:rPr>
          <w:u w:val="none"/>
        </w:rPr>
        <w:t>may not consider any increases in earned income when</w:t>
      </w:r>
      <w:r w:rsidR="003D0305" w:rsidRPr="000E1DE0">
        <w:rPr>
          <w:u w:val="none"/>
        </w:rPr>
        <w:t xml:space="preserve"> </w:t>
      </w:r>
      <w:r w:rsidR="00803319" w:rsidRPr="000E1DE0">
        <w:rPr>
          <w:u w:val="none"/>
        </w:rPr>
        <w:t>estimating or calculating whether the family’s adjusted income has increased, unless the family has previously received an interim reduction during the same reexamination cycle.</w:t>
      </w:r>
      <w:r w:rsidR="00D60BF1" w:rsidRPr="000E1DE0">
        <w:rPr>
          <w:u w:val="none"/>
        </w:rPr>
        <w:t xml:space="preserve"> </w:t>
      </w:r>
      <w:r w:rsidRPr="000E1DE0">
        <w:rPr>
          <w:u w:val="none"/>
        </w:rPr>
        <w:t xml:space="preserve">The </w:t>
      </w:r>
      <w:r w:rsidR="00090F95" w:rsidRPr="000E1DE0">
        <w:rPr>
          <w:u w:val="none"/>
        </w:rPr>
        <w:t xml:space="preserve">Agent </w:t>
      </w:r>
      <w:r w:rsidR="00D60BF1" w:rsidRPr="000E1DE0">
        <w:rPr>
          <w:u w:val="none"/>
        </w:rPr>
        <w:t>may not establish a different threshold to conduct interim reexaminations for increases in adjusted income.</w:t>
      </w:r>
    </w:p>
    <w:p w14:paraId="59A7D927" w14:textId="77777777" w:rsidR="00351772" w:rsidRPr="000E1DE0" w:rsidRDefault="00351772" w:rsidP="008E397B">
      <w:pPr>
        <w:ind w:left="720" w:right="180"/>
        <w:jc w:val="both"/>
        <w:rPr>
          <w:u w:val="none"/>
        </w:rPr>
      </w:pPr>
    </w:p>
    <w:p w14:paraId="17428FDA" w14:textId="77777777" w:rsidR="00351772" w:rsidRPr="000E1DE0" w:rsidRDefault="00351772" w:rsidP="008E397B">
      <w:pPr>
        <w:ind w:left="720" w:right="180"/>
        <w:jc w:val="both"/>
        <w:rPr>
          <w:b/>
          <w:bCs/>
          <w:u w:val="none"/>
        </w:rPr>
      </w:pPr>
      <w:r w:rsidRPr="000E1DE0">
        <w:rPr>
          <w:b/>
          <w:bCs/>
          <w:u w:val="none"/>
        </w:rPr>
        <w:t>Agent’s Discretionary Policy</w:t>
      </w:r>
    </w:p>
    <w:p w14:paraId="6F955A23" w14:textId="77777777" w:rsidR="00351772" w:rsidRPr="000E1DE0" w:rsidRDefault="00351772" w:rsidP="008E397B">
      <w:pPr>
        <w:ind w:left="720" w:right="180"/>
        <w:jc w:val="both"/>
        <w:rPr>
          <w:u w:val="none"/>
        </w:rPr>
      </w:pPr>
    </w:p>
    <w:p w14:paraId="4FAFD68B" w14:textId="77777777" w:rsidR="004E56E2" w:rsidRPr="000E1DE0" w:rsidRDefault="00E75DFE" w:rsidP="008E397B">
      <w:pPr>
        <w:ind w:left="720" w:right="180"/>
        <w:jc w:val="both"/>
        <w:rPr>
          <w:u w:val="none"/>
        </w:rPr>
      </w:pPr>
      <w:r w:rsidRPr="000E1DE0">
        <w:rPr>
          <w:u w:val="none"/>
        </w:rPr>
        <w:t xml:space="preserve">Will the </w:t>
      </w:r>
      <w:r w:rsidR="00C45251" w:rsidRPr="000E1DE0">
        <w:rPr>
          <w:u w:val="none"/>
        </w:rPr>
        <w:t>Agent</w:t>
      </w:r>
      <w:r w:rsidR="004E56E2" w:rsidRPr="000E1DE0">
        <w:rPr>
          <w:u w:val="none"/>
        </w:rPr>
        <w:t xml:space="preserve"> conduct an interim reexamination if a family reports an increase in income within three months of their next annual reexamination effective date</w:t>
      </w:r>
      <w:r w:rsidR="0097487C" w:rsidRPr="000E1DE0">
        <w:rPr>
          <w:u w:val="none"/>
        </w:rPr>
        <w:t>?</w:t>
      </w:r>
      <w:r w:rsidR="006A5744" w:rsidRPr="000E1DE0">
        <w:rPr>
          <w:u w:val="none"/>
        </w:rPr>
        <w:t xml:space="preserve"> </w:t>
      </w:r>
      <w:r w:rsidR="006A5744" w:rsidRPr="000E1DE0">
        <w:rPr>
          <w:i/>
          <w:iCs/>
          <w:u w:val="none"/>
        </w:rPr>
        <w:t>(check as applicable)</w:t>
      </w:r>
    </w:p>
    <w:p w14:paraId="27C666A4" w14:textId="77777777" w:rsidR="00E13EEA" w:rsidRPr="000E1DE0" w:rsidRDefault="00E13EEA" w:rsidP="008E397B">
      <w:pPr>
        <w:ind w:right="180"/>
        <w:jc w:val="both"/>
        <w:rPr>
          <w:u w:val="none"/>
        </w:rPr>
      </w:pPr>
    </w:p>
    <w:p w14:paraId="015C7ABF" w14:textId="77777777" w:rsidR="00F61E37" w:rsidRPr="000E1DE0" w:rsidRDefault="00962582" w:rsidP="008E397B">
      <w:pPr>
        <w:ind w:left="1440" w:right="180" w:hanging="450"/>
        <w:jc w:val="both"/>
        <w:rPr>
          <w:u w:val="none"/>
        </w:rPr>
      </w:pPr>
      <w:sdt>
        <w:sdtPr>
          <w:rPr>
            <w:u w:val="none"/>
          </w:rPr>
          <w:id w:val="128440060"/>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t>Yes</w:t>
      </w:r>
    </w:p>
    <w:p w14:paraId="53DDAAB5" w14:textId="77777777" w:rsidR="00F61E37" w:rsidRPr="000E1DE0" w:rsidRDefault="00962582" w:rsidP="008E397B">
      <w:pPr>
        <w:ind w:left="1440" w:right="180" w:hanging="450"/>
        <w:jc w:val="both"/>
        <w:rPr>
          <w:u w:val="none"/>
        </w:rPr>
      </w:pPr>
      <w:sdt>
        <w:sdtPr>
          <w:rPr>
            <w:u w:val="none"/>
          </w:rPr>
          <w:id w:val="-2056615724"/>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t>No</w:t>
      </w:r>
    </w:p>
    <w:p w14:paraId="79EAB9DE" w14:textId="77777777" w:rsidR="00E75DFE" w:rsidRPr="000E1DE0" w:rsidRDefault="00E75DFE" w:rsidP="008E397B">
      <w:pPr>
        <w:ind w:right="180"/>
        <w:jc w:val="both"/>
        <w:rPr>
          <w:u w:val="none"/>
        </w:rPr>
      </w:pPr>
    </w:p>
    <w:p w14:paraId="3CE97654" w14:textId="77777777" w:rsidR="004E56E2" w:rsidRPr="000E1DE0" w:rsidRDefault="0012622E" w:rsidP="008E397B">
      <w:pPr>
        <w:ind w:left="720" w:right="180"/>
        <w:jc w:val="both"/>
        <w:rPr>
          <w:u w:val="none"/>
        </w:rPr>
      </w:pPr>
      <w:r w:rsidRPr="000E1DE0">
        <w:rPr>
          <w:u w:val="none"/>
        </w:rPr>
        <w:t xml:space="preserve">Will the </w:t>
      </w:r>
      <w:r w:rsidR="00C45251" w:rsidRPr="000E1DE0">
        <w:rPr>
          <w:u w:val="none"/>
        </w:rPr>
        <w:t>Agent</w:t>
      </w:r>
      <w:r w:rsidR="004E56E2" w:rsidRPr="000E1DE0">
        <w:rPr>
          <w:u w:val="none"/>
        </w:rPr>
        <w:t xml:space="preserve"> include earned income increases in determining whether the ten percent threshold is met for increases in adjusted income when the family previously had an interim reexamination performed for a decrease in annual adjusted income (earned, unearned, or combined) since the last annual reexamination</w:t>
      </w:r>
      <w:r w:rsidR="0097487C" w:rsidRPr="000E1DE0">
        <w:rPr>
          <w:u w:val="none"/>
        </w:rPr>
        <w:t>?</w:t>
      </w:r>
      <w:r w:rsidR="004E56E2" w:rsidRPr="000E1DE0">
        <w:rPr>
          <w:u w:val="none"/>
        </w:rPr>
        <w:t xml:space="preserve"> </w:t>
      </w:r>
      <w:r w:rsidR="006A5744" w:rsidRPr="000E1DE0">
        <w:rPr>
          <w:i/>
          <w:iCs/>
          <w:u w:val="none"/>
        </w:rPr>
        <w:t>(check as applicable)</w:t>
      </w:r>
    </w:p>
    <w:p w14:paraId="636D57F2" w14:textId="77777777" w:rsidR="0012622E" w:rsidRPr="000E1DE0" w:rsidRDefault="0012622E" w:rsidP="008E397B">
      <w:pPr>
        <w:ind w:right="180"/>
        <w:jc w:val="both"/>
        <w:rPr>
          <w:u w:val="none"/>
        </w:rPr>
      </w:pPr>
    </w:p>
    <w:p w14:paraId="74D3BA2C" w14:textId="77777777" w:rsidR="00F61E37" w:rsidRPr="000E1DE0" w:rsidRDefault="00962582" w:rsidP="008E397B">
      <w:pPr>
        <w:ind w:left="1440" w:right="180" w:hanging="450"/>
        <w:jc w:val="both"/>
        <w:rPr>
          <w:u w:val="none"/>
        </w:rPr>
      </w:pPr>
      <w:sdt>
        <w:sdtPr>
          <w:rPr>
            <w:u w:val="none"/>
          </w:rPr>
          <w:id w:val="-353047277"/>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t>Yes</w:t>
      </w:r>
    </w:p>
    <w:p w14:paraId="799A3353" w14:textId="77777777" w:rsidR="00F61E37" w:rsidRPr="000E1DE0" w:rsidRDefault="00962582" w:rsidP="008E397B">
      <w:pPr>
        <w:ind w:left="1440" w:right="180" w:hanging="450"/>
        <w:jc w:val="both"/>
        <w:rPr>
          <w:u w:val="none"/>
        </w:rPr>
      </w:pPr>
      <w:sdt>
        <w:sdtPr>
          <w:rPr>
            <w:u w:val="none"/>
          </w:rPr>
          <w:id w:val="-1882551150"/>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t>No</w:t>
      </w:r>
    </w:p>
    <w:p w14:paraId="2BAFF568" w14:textId="77777777" w:rsidR="00D73396" w:rsidRPr="000E1DE0" w:rsidRDefault="00D73396" w:rsidP="008E397B">
      <w:pPr>
        <w:ind w:right="180"/>
        <w:jc w:val="both"/>
        <w:rPr>
          <w:u w:val="none"/>
        </w:rPr>
      </w:pPr>
    </w:p>
    <w:p w14:paraId="1866732C" w14:textId="77777777" w:rsidR="00D349F2" w:rsidRPr="000E1DE0" w:rsidRDefault="003B368D" w:rsidP="00FE0C37">
      <w:pPr>
        <w:pStyle w:val="ListParagraph"/>
        <w:numPr>
          <w:ilvl w:val="0"/>
          <w:numId w:val="6"/>
        </w:numPr>
        <w:ind w:right="180" w:hanging="450"/>
        <w:jc w:val="both"/>
        <w:rPr>
          <w:b/>
          <w:bCs/>
        </w:rPr>
      </w:pPr>
      <w:r w:rsidRPr="000E1DE0">
        <w:rPr>
          <w:b/>
          <w:bCs/>
        </w:rPr>
        <w:t>Interim Reexaminations - Reporting Changes &amp; Effective Date</w:t>
      </w:r>
    </w:p>
    <w:p w14:paraId="2D5D110A" w14:textId="77777777" w:rsidR="00E613BE" w:rsidRPr="000E1DE0" w:rsidRDefault="00E613BE" w:rsidP="008E397B">
      <w:pPr>
        <w:ind w:right="180"/>
        <w:jc w:val="both"/>
        <w:rPr>
          <w:u w:val="none"/>
        </w:rPr>
      </w:pPr>
    </w:p>
    <w:p w14:paraId="66636CFF" w14:textId="77777777" w:rsidR="00CE3B7F" w:rsidRPr="000E1DE0" w:rsidRDefault="00CE3B7F" w:rsidP="008E397B">
      <w:pPr>
        <w:ind w:right="180" w:firstLine="720"/>
        <w:jc w:val="both"/>
        <w:rPr>
          <w:u w:val="none"/>
        </w:rPr>
      </w:pPr>
      <w:r w:rsidRPr="000E1DE0">
        <w:rPr>
          <w:u w:val="none"/>
        </w:rPr>
        <w:t>Regulations: 24 CFR §§ 5.657(c)(4); 891.410(g)(2); and 891.610(g)(2)</w:t>
      </w:r>
    </w:p>
    <w:p w14:paraId="0F594D9A" w14:textId="77777777" w:rsidR="00CC172F" w:rsidRPr="000E1DE0" w:rsidRDefault="00CC172F" w:rsidP="008E397B">
      <w:pPr>
        <w:ind w:right="180"/>
        <w:jc w:val="both"/>
        <w:rPr>
          <w:u w:val="none"/>
        </w:rPr>
      </w:pPr>
    </w:p>
    <w:p w14:paraId="7002D40D"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378DDF06" w14:textId="77777777" w:rsidR="00351772" w:rsidRPr="000E1DE0" w:rsidRDefault="00351772" w:rsidP="008E397B">
      <w:pPr>
        <w:ind w:left="720" w:right="180"/>
        <w:jc w:val="both"/>
        <w:rPr>
          <w:u w:val="none"/>
        </w:rPr>
      </w:pPr>
    </w:p>
    <w:p w14:paraId="58B1BD06" w14:textId="77777777" w:rsidR="0083239A" w:rsidRPr="000E1DE0" w:rsidRDefault="0083239A" w:rsidP="008E397B">
      <w:pPr>
        <w:ind w:left="720" w:right="180"/>
        <w:jc w:val="both"/>
        <w:rPr>
          <w:u w:val="none"/>
        </w:rPr>
      </w:pPr>
      <w:r w:rsidRPr="000E1DE0">
        <w:rPr>
          <w:u w:val="none"/>
        </w:rPr>
        <w:t xml:space="preserve">Families must report household composition changes and changes to adjusted income consistent with HOTMA’s requirements; however, </w:t>
      </w:r>
      <w:r w:rsidR="00090F95" w:rsidRPr="000E1DE0">
        <w:rPr>
          <w:u w:val="none"/>
        </w:rPr>
        <w:t>the Agent</w:t>
      </w:r>
      <w:r w:rsidR="001211C1" w:rsidRPr="000E1DE0">
        <w:rPr>
          <w:u w:val="none"/>
        </w:rPr>
        <w:t xml:space="preserve"> shall</w:t>
      </w:r>
      <w:r w:rsidR="00090F95" w:rsidRPr="000E1DE0">
        <w:rPr>
          <w:u w:val="none"/>
        </w:rPr>
        <w:t xml:space="preserve"> </w:t>
      </w:r>
      <w:r w:rsidR="001211C1" w:rsidRPr="000E1DE0">
        <w:rPr>
          <w:u w:val="none"/>
        </w:rPr>
        <w:t xml:space="preserve">establish a policy to </w:t>
      </w:r>
      <w:r w:rsidRPr="000E1DE0">
        <w:rPr>
          <w:u w:val="none"/>
        </w:rPr>
        <w:t xml:space="preserve">determine the timeframe in which reporting must occur to be </w:t>
      </w:r>
      <w:r w:rsidRPr="000E1DE0">
        <w:rPr>
          <w:u w:val="none"/>
        </w:rPr>
        <w:lastRenderedPageBreak/>
        <w:t>considered “timely.”</w:t>
      </w:r>
    </w:p>
    <w:p w14:paraId="35AD72D6" w14:textId="77777777" w:rsidR="001B7C56" w:rsidRPr="000E1DE0" w:rsidRDefault="001B7C56" w:rsidP="008E397B">
      <w:pPr>
        <w:ind w:left="720" w:right="180"/>
        <w:jc w:val="both"/>
        <w:rPr>
          <w:u w:val="none"/>
        </w:rPr>
      </w:pPr>
    </w:p>
    <w:p w14:paraId="5A1B458C" w14:textId="77777777" w:rsidR="00277018" w:rsidRPr="000E1DE0" w:rsidRDefault="00561EA1" w:rsidP="008E397B">
      <w:pPr>
        <w:ind w:left="720" w:right="180"/>
        <w:jc w:val="both"/>
        <w:rPr>
          <w:i/>
          <w:iCs/>
          <w:u w:val="none"/>
        </w:rPr>
      </w:pPr>
      <w:r w:rsidRPr="000E1DE0">
        <w:rPr>
          <w:u w:val="none"/>
        </w:rPr>
        <w:t xml:space="preserve">The Agent </w:t>
      </w:r>
      <w:r w:rsidR="00277018" w:rsidRPr="000E1DE0">
        <w:rPr>
          <w:u w:val="none"/>
        </w:rPr>
        <w:t>may adopt a policy to apply rent decreases retroactively for</w:t>
      </w:r>
      <w:r w:rsidR="001B7C56" w:rsidRPr="000E1DE0">
        <w:rPr>
          <w:u w:val="none"/>
        </w:rPr>
        <w:t xml:space="preserve"> </w:t>
      </w:r>
      <w:r w:rsidR="00277018" w:rsidRPr="000E1DE0">
        <w:rPr>
          <w:u w:val="none"/>
        </w:rPr>
        <w:t>circumstances in which families fail to report changes in a timely manner. A retroactive</w:t>
      </w:r>
      <w:r w:rsidR="001B7C56" w:rsidRPr="000E1DE0">
        <w:rPr>
          <w:u w:val="none"/>
        </w:rPr>
        <w:t xml:space="preserve"> </w:t>
      </w:r>
      <w:r w:rsidR="00277018" w:rsidRPr="000E1DE0">
        <w:rPr>
          <w:u w:val="none"/>
        </w:rPr>
        <w:t>rent decrease may not be applied prior to the later of either the first of the month</w:t>
      </w:r>
      <w:r w:rsidR="001B7C56" w:rsidRPr="000E1DE0">
        <w:rPr>
          <w:u w:val="none"/>
        </w:rPr>
        <w:t xml:space="preserve"> </w:t>
      </w:r>
      <w:r w:rsidR="00277018" w:rsidRPr="000E1DE0">
        <w:rPr>
          <w:u w:val="none"/>
        </w:rPr>
        <w:t>following the date of the actual decrease in income, or the first of the month following</w:t>
      </w:r>
      <w:r w:rsidR="001B7C56" w:rsidRPr="000E1DE0">
        <w:rPr>
          <w:u w:val="none"/>
        </w:rPr>
        <w:t xml:space="preserve"> </w:t>
      </w:r>
      <w:r w:rsidR="00277018" w:rsidRPr="000E1DE0">
        <w:rPr>
          <w:u w:val="none"/>
        </w:rPr>
        <w:t xml:space="preserve">the most recent previous income examination. </w:t>
      </w:r>
      <w:r w:rsidRPr="000E1DE0">
        <w:rPr>
          <w:u w:val="none"/>
        </w:rPr>
        <w:t>The Agent</w:t>
      </w:r>
      <w:r w:rsidR="00277018" w:rsidRPr="000E1DE0">
        <w:rPr>
          <w:u w:val="none"/>
        </w:rPr>
        <w:t xml:space="preserve"> may establish</w:t>
      </w:r>
      <w:r w:rsidR="001B7C56" w:rsidRPr="000E1DE0">
        <w:rPr>
          <w:u w:val="none"/>
        </w:rPr>
        <w:t xml:space="preserve"> </w:t>
      </w:r>
      <w:r w:rsidR="00277018" w:rsidRPr="000E1DE0">
        <w:rPr>
          <w:u w:val="none"/>
        </w:rPr>
        <w:t>additional criteria to describe the conditions under which retroactive decreases will be</w:t>
      </w:r>
      <w:r w:rsidR="001B7C56" w:rsidRPr="000E1DE0">
        <w:rPr>
          <w:u w:val="none"/>
        </w:rPr>
        <w:t xml:space="preserve"> </w:t>
      </w:r>
      <w:r w:rsidR="00277018" w:rsidRPr="000E1DE0">
        <w:rPr>
          <w:u w:val="none"/>
        </w:rPr>
        <w:t>applied (e.g., the kinds of extenuating circumstances that may inhibit timely reporting).</w:t>
      </w:r>
    </w:p>
    <w:p w14:paraId="6347E27A" w14:textId="77777777" w:rsidR="00277018" w:rsidRPr="000E1DE0" w:rsidRDefault="00277018" w:rsidP="008E397B">
      <w:pPr>
        <w:ind w:left="720" w:right="180"/>
        <w:jc w:val="both"/>
        <w:rPr>
          <w:u w:val="none"/>
        </w:rPr>
      </w:pPr>
    </w:p>
    <w:p w14:paraId="57C83B42" w14:textId="77777777" w:rsidR="00351772" w:rsidRPr="000E1DE0" w:rsidRDefault="00351772" w:rsidP="008E397B">
      <w:pPr>
        <w:ind w:left="720" w:right="180"/>
        <w:rPr>
          <w:b/>
          <w:bCs/>
          <w:u w:val="none"/>
        </w:rPr>
      </w:pPr>
      <w:r w:rsidRPr="000E1DE0">
        <w:rPr>
          <w:b/>
          <w:bCs/>
          <w:u w:val="none"/>
        </w:rPr>
        <w:t>Agent’s Policy</w:t>
      </w:r>
      <w:r w:rsidR="00567792" w:rsidRPr="000E1DE0">
        <w:rPr>
          <w:b/>
          <w:bCs/>
          <w:u w:val="none"/>
        </w:rPr>
        <w:t xml:space="preserve"> </w:t>
      </w:r>
      <w:r w:rsidR="00BF0BE3" w:rsidRPr="000E1DE0">
        <w:rPr>
          <w:b/>
          <w:bCs/>
          <w:u w:val="none"/>
        </w:rPr>
        <w:t>- Reporting Conditions - Changes in Household Composition/Adjusted Income</w:t>
      </w:r>
    </w:p>
    <w:p w14:paraId="3796441E" w14:textId="77777777" w:rsidR="00202076" w:rsidRPr="000E1DE0" w:rsidRDefault="00202076" w:rsidP="008E397B">
      <w:pPr>
        <w:ind w:left="720" w:right="180"/>
        <w:jc w:val="both"/>
        <w:rPr>
          <w:u w:val="none"/>
        </w:rPr>
      </w:pPr>
    </w:p>
    <w:p w14:paraId="1AC01761" w14:textId="77777777" w:rsidR="00232711" w:rsidRPr="000E1DE0" w:rsidRDefault="0070226F" w:rsidP="008E397B">
      <w:pPr>
        <w:ind w:left="720" w:right="180"/>
        <w:jc w:val="both"/>
        <w:rPr>
          <w:u w:val="none"/>
        </w:rPr>
      </w:pPr>
      <w:r w:rsidRPr="000E1DE0">
        <w:rPr>
          <w:u w:val="none"/>
        </w:rPr>
        <w:t xml:space="preserve">It is the Agent’s policy that families </w:t>
      </w:r>
      <w:r w:rsidR="00232711" w:rsidRPr="000E1DE0">
        <w:rPr>
          <w:u w:val="none"/>
        </w:rPr>
        <w:t>must report changes in household composition</w:t>
      </w:r>
      <w:r w:rsidR="0040361E" w:rsidRPr="000E1DE0">
        <w:rPr>
          <w:u w:val="none"/>
        </w:rPr>
        <w:t xml:space="preserve"> </w:t>
      </w:r>
      <w:r w:rsidR="00232711" w:rsidRPr="000E1DE0">
        <w:rPr>
          <w:u w:val="none"/>
        </w:rPr>
        <w:t>and adjusted income consistent with HUD’s requirements for processing an interim reexamination or other non</w:t>
      </w:r>
      <w:r w:rsidR="00CC172F" w:rsidRPr="000E1DE0">
        <w:rPr>
          <w:u w:val="none"/>
        </w:rPr>
        <w:t>-</w:t>
      </w:r>
      <w:r w:rsidR="00232711" w:rsidRPr="000E1DE0">
        <w:rPr>
          <w:u w:val="none"/>
        </w:rPr>
        <w:t>interim reexamination transaction</w:t>
      </w:r>
      <w:r w:rsidR="00BF0BE3" w:rsidRPr="000E1DE0">
        <w:rPr>
          <w:u w:val="none"/>
        </w:rPr>
        <w:t xml:space="preserve"> in the manner specified below</w:t>
      </w:r>
      <w:r w:rsidR="00232711" w:rsidRPr="000E1DE0">
        <w:rPr>
          <w:u w:val="none"/>
        </w:rPr>
        <w:t>.</w:t>
      </w:r>
    </w:p>
    <w:p w14:paraId="564DADF7" w14:textId="77777777" w:rsidR="000E4A36" w:rsidRPr="000E1DE0" w:rsidRDefault="000E4A36" w:rsidP="008E397B">
      <w:pPr>
        <w:ind w:left="720" w:right="180"/>
        <w:jc w:val="both"/>
        <w:rPr>
          <w:u w:val="none"/>
        </w:rPr>
      </w:pPr>
    </w:p>
    <w:tbl>
      <w:tblPr>
        <w:tblStyle w:val="TableGrid"/>
        <w:tblW w:w="4521" w:type="pct"/>
        <w:tblInd w:w="720" w:type="dxa"/>
        <w:tblCellMar>
          <w:top w:w="115" w:type="dxa"/>
          <w:bottom w:w="115" w:type="dxa"/>
        </w:tblCellMar>
        <w:tblLook w:val="04A0" w:firstRow="1" w:lastRow="0" w:firstColumn="1" w:lastColumn="0" w:noHBand="0" w:noVBand="1"/>
      </w:tblPr>
      <w:tblGrid>
        <w:gridCol w:w="8454"/>
      </w:tblGrid>
      <w:tr w:rsidR="00435AA0" w:rsidRPr="000E1DE0" w14:paraId="78B7686E" w14:textId="77777777" w:rsidTr="008D1E9F">
        <w:trPr>
          <w:trHeight w:val="773"/>
        </w:trPr>
        <w:tc>
          <w:tcPr>
            <w:tcW w:w="5000" w:type="pct"/>
          </w:tcPr>
          <w:p w14:paraId="7D17D2BD" w14:textId="77777777" w:rsidR="005F4D79" w:rsidRPr="008164EA" w:rsidRDefault="005F4D79" w:rsidP="00947225">
            <w:pPr>
              <w:ind w:right="61"/>
              <w:rPr>
                <w:rFonts w:eastAsia="Times New Roman"/>
                <w:i/>
                <w:iCs/>
                <w:color w:val="auto"/>
                <w:sz w:val="20"/>
                <w:szCs w:val="20"/>
                <w:u w:val="none"/>
                <w14:ligatures w14:val="none"/>
              </w:rPr>
            </w:pPr>
            <w:r w:rsidRPr="008164EA">
              <w:rPr>
                <w:rFonts w:eastAsia="Times New Roman"/>
                <w:i/>
                <w:iCs/>
                <w:color w:val="auto"/>
                <w:sz w:val="20"/>
                <w:szCs w:val="20"/>
                <w:u w:val="none"/>
                <w14:ligatures w14:val="none"/>
              </w:rPr>
              <w:t>[Insert reporting conditions policy specified above.]</w:t>
            </w:r>
          </w:p>
          <w:p w14:paraId="15FCA016" w14:textId="77777777" w:rsidR="005F4D79" w:rsidRPr="008164EA" w:rsidRDefault="005F4D79" w:rsidP="00947225">
            <w:pPr>
              <w:ind w:right="61"/>
              <w:jc w:val="both"/>
              <w:rPr>
                <w:i/>
                <w:iCs/>
                <w:sz w:val="20"/>
                <w:szCs w:val="20"/>
                <w:u w:val="none"/>
              </w:rPr>
            </w:pPr>
          </w:p>
          <w:p w14:paraId="1796368C" w14:textId="77777777" w:rsidR="00435AA0" w:rsidRPr="000E1DE0" w:rsidRDefault="00435AA0" w:rsidP="00947225">
            <w:pPr>
              <w:ind w:right="61"/>
              <w:jc w:val="both"/>
              <w:rPr>
                <w:i/>
                <w:iCs/>
                <w:u w:val="none"/>
              </w:rPr>
            </w:pPr>
            <w:r w:rsidRPr="000E1DE0">
              <w:rPr>
                <w:i/>
                <w:iCs/>
                <w:u w:val="none"/>
              </w:rPr>
              <w:fldChar w:fldCharType="begin">
                <w:ffData>
                  <w:name w:val="box6"/>
                  <w:enabled/>
                  <w:calcOnExit/>
                  <w:textInput>
                    <w:maxLength w:val="15000"/>
                  </w:textInput>
                </w:ffData>
              </w:fldChar>
            </w:r>
            <w:bookmarkStart w:id="31" w:name="box6"/>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31"/>
          </w:p>
        </w:tc>
      </w:tr>
    </w:tbl>
    <w:p w14:paraId="2F2E406B" w14:textId="77777777" w:rsidR="00435AA0" w:rsidRPr="000E1DE0" w:rsidRDefault="00435AA0" w:rsidP="008E397B">
      <w:pPr>
        <w:ind w:left="720" w:right="180"/>
        <w:jc w:val="both"/>
        <w:rPr>
          <w:u w:val="none"/>
        </w:rPr>
      </w:pPr>
    </w:p>
    <w:p w14:paraId="1C6A1779" w14:textId="77777777" w:rsidR="0070226F" w:rsidRPr="000E1DE0" w:rsidRDefault="0070226F" w:rsidP="008E397B">
      <w:pPr>
        <w:ind w:left="720" w:right="180"/>
        <w:jc w:val="both"/>
        <w:rPr>
          <w:b/>
          <w:bCs/>
          <w:u w:val="none"/>
        </w:rPr>
      </w:pPr>
      <w:r w:rsidRPr="000E1DE0">
        <w:rPr>
          <w:b/>
          <w:bCs/>
          <w:u w:val="none"/>
        </w:rPr>
        <w:t xml:space="preserve">Agent’s Discretionary Policy  </w:t>
      </w:r>
    </w:p>
    <w:p w14:paraId="2D134530" w14:textId="77777777" w:rsidR="0070226F" w:rsidRPr="000E1DE0" w:rsidRDefault="0070226F" w:rsidP="008E397B">
      <w:pPr>
        <w:ind w:left="720" w:right="180"/>
        <w:jc w:val="both"/>
        <w:rPr>
          <w:u w:val="none"/>
        </w:rPr>
      </w:pPr>
    </w:p>
    <w:p w14:paraId="5752202C" w14:textId="77777777" w:rsidR="00232711" w:rsidRPr="000E1DE0" w:rsidRDefault="00090F95" w:rsidP="008E397B">
      <w:pPr>
        <w:ind w:left="720" w:right="180"/>
        <w:jc w:val="both"/>
        <w:rPr>
          <w:u w:val="none"/>
        </w:rPr>
      </w:pPr>
      <w:r w:rsidRPr="000E1DE0">
        <w:rPr>
          <w:u w:val="none"/>
        </w:rPr>
        <w:t xml:space="preserve">The Agent </w:t>
      </w:r>
      <w:r w:rsidR="00232711" w:rsidRPr="000E1DE0">
        <w:rPr>
          <w:u w:val="none"/>
        </w:rPr>
        <w:t>may adopt a policy to apply rent decreases retroactively and establish additional criteria to describe the conditions under which retroactive decreases will be applied.</w:t>
      </w:r>
    </w:p>
    <w:p w14:paraId="04A91ABE" w14:textId="77777777" w:rsidR="00015976" w:rsidRPr="000E1DE0" w:rsidRDefault="00015976" w:rsidP="008E397B">
      <w:pPr>
        <w:ind w:left="900" w:right="180"/>
        <w:jc w:val="both"/>
        <w:rPr>
          <w:u w:val="none"/>
        </w:rPr>
      </w:pPr>
    </w:p>
    <w:tbl>
      <w:tblPr>
        <w:tblStyle w:val="TableGrid"/>
        <w:tblW w:w="4521" w:type="pct"/>
        <w:tblInd w:w="720" w:type="dxa"/>
        <w:tblCellMar>
          <w:top w:w="115" w:type="dxa"/>
          <w:bottom w:w="115" w:type="dxa"/>
        </w:tblCellMar>
        <w:tblLook w:val="04A0" w:firstRow="1" w:lastRow="0" w:firstColumn="1" w:lastColumn="0" w:noHBand="0" w:noVBand="1"/>
      </w:tblPr>
      <w:tblGrid>
        <w:gridCol w:w="8454"/>
      </w:tblGrid>
      <w:tr w:rsidR="0020546D" w:rsidRPr="000E1DE0" w14:paraId="752BDDF1" w14:textId="77777777" w:rsidTr="008D1E9F">
        <w:trPr>
          <w:trHeight w:val="685"/>
        </w:trPr>
        <w:tc>
          <w:tcPr>
            <w:tcW w:w="5000" w:type="pct"/>
          </w:tcPr>
          <w:p w14:paraId="6673ADEF" w14:textId="77777777" w:rsidR="005F4D79" w:rsidRPr="008164EA" w:rsidRDefault="005F4D79" w:rsidP="00947225">
            <w:pPr>
              <w:ind w:right="61"/>
              <w:rPr>
                <w:i/>
                <w:iCs/>
                <w:sz w:val="20"/>
                <w:szCs w:val="20"/>
                <w:u w:val="none"/>
              </w:rPr>
            </w:pPr>
            <w:r w:rsidRPr="008164EA">
              <w:rPr>
                <w:i/>
                <w:iCs/>
                <w:sz w:val="20"/>
                <w:szCs w:val="20"/>
                <w:u w:val="none"/>
              </w:rPr>
              <w:t>[If adopted, insert the rent decrease policy specified above. If not adopted, insert “N/A”.]</w:t>
            </w:r>
          </w:p>
          <w:p w14:paraId="7EE48B87" w14:textId="77777777" w:rsidR="005F4D79" w:rsidRPr="008164EA" w:rsidRDefault="005F4D79" w:rsidP="00947225">
            <w:pPr>
              <w:ind w:right="61"/>
              <w:jc w:val="both"/>
              <w:rPr>
                <w:i/>
                <w:iCs/>
                <w:sz w:val="20"/>
                <w:szCs w:val="20"/>
                <w:u w:val="none"/>
              </w:rPr>
            </w:pPr>
          </w:p>
          <w:p w14:paraId="20C9B4DA" w14:textId="77777777" w:rsidR="0020546D" w:rsidRPr="000E1DE0" w:rsidRDefault="0020546D" w:rsidP="00947225">
            <w:pPr>
              <w:ind w:right="61"/>
              <w:jc w:val="both"/>
              <w:rPr>
                <w:i/>
                <w:iCs/>
                <w:u w:val="none"/>
              </w:rPr>
            </w:pPr>
            <w:r w:rsidRPr="000E1DE0">
              <w:rPr>
                <w:i/>
                <w:iCs/>
                <w:u w:val="none"/>
              </w:rPr>
              <w:fldChar w:fldCharType="begin">
                <w:ffData>
                  <w:name w:val="box7"/>
                  <w:enabled/>
                  <w:calcOnExit/>
                  <w:textInput>
                    <w:maxLength w:val="15000"/>
                  </w:textInput>
                </w:ffData>
              </w:fldChar>
            </w:r>
            <w:bookmarkStart w:id="32" w:name="box7"/>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32"/>
          </w:p>
        </w:tc>
      </w:tr>
    </w:tbl>
    <w:p w14:paraId="2EEE6315" w14:textId="77777777" w:rsidR="00015976" w:rsidRPr="000E1DE0" w:rsidRDefault="00015976" w:rsidP="008E397B">
      <w:pPr>
        <w:ind w:left="180" w:right="180"/>
        <w:jc w:val="both"/>
        <w:rPr>
          <w:u w:val="none"/>
        </w:rPr>
      </w:pPr>
    </w:p>
    <w:p w14:paraId="0A5BF247" w14:textId="77777777" w:rsidR="00C65F22" w:rsidRPr="000E1DE0" w:rsidRDefault="008A6922" w:rsidP="00FE0C37">
      <w:pPr>
        <w:pStyle w:val="ListParagraph"/>
        <w:numPr>
          <w:ilvl w:val="0"/>
          <w:numId w:val="13"/>
        </w:numPr>
        <w:tabs>
          <w:tab w:val="left" w:pos="450"/>
        </w:tabs>
        <w:ind w:right="180" w:hanging="720"/>
        <w:jc w:val="both"/>
        <w:rPr>
          <w:b/>
          <w:bCs/>
          <w:sz w:val="28"/>
          <w:szCs w:val="28"/>
          <w:u w:val="none"/>
        </w:rPr>
      </w:pPr>
      <w:r w:rsidRPr="000E1DE0">
        <w:rPr>
          <w:b/>
          <w:bCs/>
          <w:sz w:val="28"/>
          <w:szCs w:val="28"/>
          <w:u w:val="none"/>
        </w:rPr>
        <w:t>Verification</w:t>
      </w:r>
    </w:p>
    <w:p w14:paraId="046A3283" w14:textId="77777777" w:rsidR="00E613BE" w:rsidRPr="000E1DE0" w:rsidRDefault="00E613BE" w:rsidP="008E397B">
      <w:pPr>
        <w:pStyle w:val="ListParagraph"/>
        <w:ind w:right="180"/>
        <w:jc w:val="both"/>
        <w:rPr>
          <w:b/>
          <w:bCs/>
          <w:u w:val="none"/>
        </w:rPr>
      </w:pPr>
    </w:p>
    <w:p w14:paraId="79207F36" w14:textId="77777777" w:rsidR="0046365B" w:rsidRPr="000E1DE0" w:rsidRDefault="008A1524" w:rsidP="00FE0C37">
      <w:pPr>
        <w:pStyle w:val="ListParagraph"/>
        <w:numPr>
          <w:ilvl w:val="0"/>
          <w:numId w:val="7"/>
        </w:numPr>
        <w:ind w:left="720" w:right="180" w:hanging="450"/>
        <w:jc w:val="both"/>
        <w:rPr>
          <w:b/>
          <w:bCs/>
        </w:rPr>
      </w:pPr>
      <w:r w:rsidRPr="000E1DE0">
        <w:rPr>
          <w:b/>
          <w:bCs/>
        </w:rPr>
        <w:t>Revocation of Consent Form</w:t>
      </w:r>
      <w:r w:rsidR="00540F51" w:rsidRPr="000E1DE0">
        <w:rPr>
          <w:b/>
          <w:bCs/>
        </w:rPr>
        <w:t xml:space="preserve"> (Form HUD-9887)</w:t>
      </w:r>
    </w:p>
    <w:p w14:paraId="6EBD4096" w14:textId="77777777" w:rsidR="00E613BE" w:rsidRPr="000E1DE0" w:rsidRDefault="00E613BE" w:rsidP="008E397B">
      <w:pPr>
        <w:ind w:right="180"/>
        <w:jc w:val="both"/>
        <w:rPr>
          <w:u w:val="none"/>
        </w:rPr>
      </w:pPr>
    </w:p>
    <w:p w14:paraId="6D63B200" w14:textId="77777777" w:rsidR="00CE3B7F" w:rsidRPr="000E1DE0" w:rsidRDefault="00CE3B7F" w:rsidP="008E397B">
      <w:pPr>
        <w:ind w:left="720" w:right="180"/>
        <w:jc w:val="both"/>
        <w:rPr>
          <w:u w:val="none"/>
        </w:rPr>
      </w:pPr>
      <w:r w:rsidRPr="000E1DE0">
        <w:rPr>
          <w:u w:val="none"/>
        </w:rPr>
        <w:t xml:space="preserve">Regulations: </w:t>
      </w:r>
      <w:r w:rsidR="00540F51" w:rsidRPr="000E1DE0">
        <w:rPr>
          <w:u w:val="none"/>
        </w:rPr>
        <w:t>24 CFR §§ 5.230(c)(5)(iii); 24 CFR 5.232(c); 891.105; 891.410(g)(3)(ii); and 891.610(g)(3)(ii)</w:t>
      </w:r>
    </w:p>
    <w:p w14:paraId="24B09F6A" w14:textId="77777777" w:rsidR="00A83000" w:rsidRPr="000E1DE0" w:rsidRDefault="00A83000" w:rsidP="008E397B">
      <w:pPr>
        <w:ind w:left="720" w:right="180"/>
        <w:jc w:val="both"/>
        <w:rPr>
          <w:u w:val="none"/>
        </w:rPr>
      </w:pPr>
    </w:p>
    <w:p w14:paraId="26E07143"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0B65E352" w14:textId="77777777" w:rsidR="00351772" w:rsidRPr="000E1DE0" w:rsidRDefault="00351772" w:rsidP="008E397B">
      <w:pPr>
        <w:ind w:left="720" w:right="180"/>
        <w:jc w:val="both"/>
        <w:rPr>
          <w:u w:val="none"/>
        </w:rPr>
      </w:pPr>
    </w:p>
    <w:p w14:paraId="5ECE7B4E" w14:textId="77777777" w:rsidR="00601053" w:rsidRPr="000E1DE0" w:rsidRDefault="007F2374" w:rsidP="008E397B">
      <w:pPr>
        <w:ind w:left="720" w:right="180"/>
        <w:jc w:val="both"/>
        <w:rPr>
          <w:u w:val="none"/>
        </w:rPr>
      </w:pPr>
      <w:r w:rsidRPr="000E1DE0">
        <w:rPr>
          <w:u w:val="none"/>
        </w:rPr>
        <w:t>On or after January 1, 2024, after all applicants and participants have signed and submitted a consent form (Form HUD-9887), family members do not need to sign and submit subsequent consent forms</w:t>
      </w:r>
      <w:r w:rsidR="00211E5B" w:rsidRPr="000E1DE0">
        <w:rPr>
          <w:u w:val="none"/>
        </w:rPr>
        <w:t xml:space="preserve"> except </w:t>
      </w:r>
      <w:r w:rsidR="00104A46" w:rsidRPr="000E1DE0">
        <w:rPr>
          <w:u w:val="none"/>
        </w:rPr>
        <w:t>new family member</w:t>
      </w:r>
      <w:r w:rsidR="001B74B8" w:rsidRPr="000E1DE0">
        <w:rPr>
          <w:u w:val="none"/>
        </w:rPr>
        <w:t>s</w:t>
      </w:r>
      <w:r w:rsidR="00104A46" w:rsidRPr="000E1DE0">
        <w:rPr>
          <w:u w:val="none"/>
        </w:rPr>
        <w:t xml:space="preserve"> aged 18 or </w:t>
      </w:r>
      <w:r w:rsidR="00104A46" w:rsidRPr="000E1DE0">
        <w:rPr>
          <w:u w:val="none"/>
        </w:rPr>
        <w:lastRenderedPageBreak/>
        <w:t>older, existing family member</w:t>
      </w:r>
      <w:r w:rsidR="001B74B8" w:rsidRPr="000E1DE0">
        <w:rPr>
          <w:u w:val="none"/>
        </w:rPr>
        <w:t>s</w:t>
      </w:r>
      <w:r w:rsidR="00104A46" w:rsidRPr="000E1DE0">
        <w:rPr>
          <w:u w:val="none"/>
        </w:rPr>
        <w:t xml:space="preserve"> turns 18 or as directed by HUD or the PHA in administrative instructions. </w:t>
      </w:r>
    </w:p>
    <w:p w14:paraId="325D5A38" w14:textId="77777777" w:rsidR="00104A46" w:rsidRPr="000E1DE0" w:rsidRDefault="00104A46" w:rsidP="008E397B">
      <w:pPr>
        <w:ind w:left="720" w:right="180"/>
        <w:jc w:val="both"/>
        <w:rPr>
          <w:u w:val="none"/>
        </w:rPr>
      </w:pPr>
    </w:p>
    <w:p w14:paraId="425AEBFD" w14:textId="77777777" w:rsidR="008A1524" w:rsidRPr="000E1DE0" w:rsidRDefault="00D009D8" w:rsidP="008E397B">
      <w:pPr>
        <w:ind w:left="720" w:right="180"/>
        <w:jc w:val="both"/>
        <w:rPr>
          <w:u w:val="none"/>
        </w:rPr>
      </w:pPr>
      <w:r w:rsidRPr="000E1DE0">
        <w:rPr>
          <w:u w:val="none"/>
        </w:rPr>
        <w:t>The executed consent form will remain effective until the family is denied assistance, the assistance is terminated, or the family</w:t>
      </w:r>
      <w:r w:rsidR="007F2374" w:rsidRPr="000E1DE0">
        <w:rPr>
          <w:u w:val="none"/>
        </w:rPr>
        <w:t xml:space="preserve"> (or a family member)</w:t>
      </w:r>
      <w:r w:rsidRPr="000E1DE0">
        <w:rPr>
          <w:u w:val="none"/>
        </w:rPr>
        <w:t xml:space="preserve"> provides written notification to the </w:t>
      </w:r>
      <w:r w:rsidR="00C45251" w:rsidRPr="000E1DE0">
        <w:rPr>
          <w:u w:val="none"/>
        </w:rPr>
        <w:t>Agent</w:t>
      </w:r>
      <w:r w:rsidRPr="000E1DE0">
        <w:rPr>
          <w:u w:val="none"/>
        </w:rPr>
        <w:t xml:space="preserve"> to revoke consent.</w:t>
      </w:r>
    </w:p>
    <w:p w14:paraId="351C13FD" w14:textId="77777777" w:rsidR="00D009D8" w:rsidRPr="000E1DE0" w:rsidRDefault="00D009D8" w:rsidP="008E397B">
      <w:pPr>
        <w:ind w:left="720" w:right="180"/>
        <w:jc w:val="both"/>
        <w:rPr>
          <w:u w:val="none"/>
        </w:rPr>
      </w:pPr>
    </w:p>
    <w:p w14:paraId="1137AAE7" w14:textId="77777777" w:rsidR="005E535C" w:rsidRPr="000E1DE0" w:rsidRDefault="00471066" w:rsidP="008E397B">
      <w:pPr>
        <w:ind w:left="720" w:right="180"/>
        <w:jc w:val="both"/>
        <w:rPr>
          <w:u w:val="none"/>
        </w:rPr>
      </w:pPr>
      <w:r w:rsidRPr="000E1DE0">
        <w:rPr>
          <w:u w:val="none"/>
        </w:rPr>
        <w:t>Families (or family members) have the right to revoke consent by notice to the Agent</w:t>
      </w:r>
      <w:r w:rsidR="005E535C" w:rsidRPr="000E1DE0">
        <w:rPr>
          <w:u w:val="none"/>
        </w:rPr>
        <w:t>. Unless the Agent has established a policy</w:t>
      </w:r>
      <w:r w:rsidR="006D06BC" w:rsidRPr="000E1DE0">
        <w:rPr>
          <w:u w:val="none"/>
        </w:rPr>
        <w:t xml:space="preserve"> below</w:t>
      </w:r>
      <w:r w:rsidR="005E535C" w:rsidRPr="000E1DE0">
        <w:rPr>
          <w:u w:val="none"/>
        </w:rPr>
        <w:t xml:space="preserve"> such that </w:t>
      </w:r>
      <w:r w:rsidR="006D06BC" w:rsidRPr="000E1DE0">
        <w:rPr>
          <w:u w:val="none"/>
        </w:rPr>
        <w:t>revocation of</w:t>
      </w:r>
      <w:r w:rsidR="005E535C" w:rsidRPr="000E1DE0">
        <w:rPr>
          <w:u w:val="none"/>
        </w:rPr>
        <w:t xml:space="preserve"> consent will result in termination of assistance (except for PRAC-assisted units where it can result in termination of tenancy), participant families will be required to sign a new consent form by the next regularly scheduled reexamination or interim reexamination, whichever occurs first.</w:t>
      </w:r>
    </w:p>
    <w:p w14:paraId="1FA4192A" w14:textId="77777777" w:rsidR="00D57F81" w:rsidRPr="000E1DE0" w:rsidRDefault="00D57F81" w:rsidP="008E397B">
      <w:pPr>
        <w:ind w:left="720" w:right="180"/>
        <w:jc w:val="both"/>
        <w:rPr>
          <w:u w:val="none"/>
        </w:rPr>
      </w:pPr>
    </w:p>
    <w:p w14:paraId="75663167" w14:textId="77777777" w:rsidR="00D57F81" w:rsidRPr="000E1DE0" w:rsidRDefault="0010100C" w:rsidP="008E397B">
      <w:pPr>
        <w:ind w:left="720" w:right="180"/>
        <w:jc w:val="both"/>
        <w:rPr>
          <w:u w:val="none"/>
        </w:rPr>
      </w:pPr>
      <w:r w:rsidRPr="000E1DE0">
        <w:rPr>
          <w:u w:val="none"/>
        </w:rPr>
        <w:t xml:space="preserve">The </w:t>
      </w:r>
      <w:r w:rsidR="00090F95" w:rsidRPr="000E1DE0">
        <w:rPr>
          <w:u w:val="none"/>
        </w:rPr>
        <w:t xml:space="preserve">Agent </w:t>
      </w:r>
      <w:r w:rsidR="00D57F81" w:rsidRPr="000E1DE0">
        <w:rPr>
          <w:u w:val="none"/>
        </w:rPr>
        <w:t>must notify their local HUD office when an applicant or participant family member revokes their consent.</w:t>
      </w:r>
    </w:p>
    <w:p w14:paraId="6C8231C1" w14:textId="77777777" w:rsidR="0042691F" w:rsidRPr="000E1DE0" w:rsidRDefault="0042691F" w:rsidP="008E397B">
      <w:pPr>
        <w:ind w:left="720" w:right="180"/>
        <w:jc w:val="both"/>
        <w:rPr>
          <w:b/>
          <w:bCs/>
          <w:u w:val="none"/>
        </w:rPr>
      </w:pPr>
    </w:p>
    <w:p w14:paraId="59BBA456" w14:textId="77777777" w:rsidR="00351772" w:rsidRPr="000E1DE0" w:rsidRDefault="00351772" w:rsidP="008E397B">
      <w:pPr>
        <w:ind w:left="720" w:right="180"/>
        <w:jc w:val="both"/>
        <w:rPr>
          <w:b/>
          <w:bCs/>
          <w:u w:val="none"/>
        </w:rPr>
      </w:pPr>
      <w:r w:rsidRPr="000E1DE0">
        <w:rPr>
          <w:b/>
          <w:bCs/>
          <w:u w:val="none"/>
        </w:rPr>
        <w:t>Agent’s Discretionary Policy</w:t>
      </w:r>
      <w:r w:rsidR="00C351C2" w:rsidRPr="000E1DE0">
        <w:rPr>
          <w:b/>
          <w:bCs/>
          <w:u w:val="none"/>
        </w:rPr>
        <w:t xml:space="preserve"> </w:t>
      </w:r>
      <w:r w:rsidR="00C22B25" w:rsidRPr="000E1DE0">
        <w:rPr>
          <w:b/>
          <w:bCs/>
          <w:u w:val="none"/>
        </w:rPr>
        <w:t>–</w:t>
      </w:r>
      <w:r w:rsidR="00C351C2" w:rsidRPr="000E1DE0">
        <w:rPr>
          <w:b/>
          <w:bCs/>
          <w:u w:val="none"/>
        </w:rPr>
        <w:t xml:space="preserve"> </w:t>
      </w:r>
      <w:r w:rsidR="00C22B25" w:rsidRPr="000E1DE0">
        <w:rPr>
          <w:b/>
          <w:bCs/>
          <w:u w:val="none"/>
        </w:rPr>
        <w:t xml:space="preserve">Consent </w:t>
      </w:r>
      <w:r w:rsidR="0010100C" w:rsidRPr="000E1DE0">
        <w:rPr>
          <w:b/>
          <w:bCs/>
          <w:u w:val="none"/>
        </w:rPr>
        <w:t>F</w:t>
      </w:r>
      <w:r w:rsidR="00C22B25" w:rsidRPr="000E1DE0">
        <w:rPr>
          <w:b/>
          <w:bCs/>
          <w:u w:val="none"/>
        </w:rPr>
        <w:t>orm Revocation</w:t>
      </w:r>
    </w:p>
    <w:p w14:paraId="0E9C4E63" w14:textId="77777777" w:rsidR="00D009D8" w:rsidRPr="000E1DE0" w:rsidRDefault="00D009D8" w:rsidP="008E397B">
      <w:pPr>
        <w:ind w:left="720" w:right="180"/>
        <w:jc w:val="both"/>
        <w:rPr>
          <w:u w:val="none"/>
        </w:rPr>
      </w:pPr>
    </w:p>
    <w:p w14:paraId="1D77E8F5" w14:textId="77777777" w:rsidR="005A23E9" w:rsidRPr="000E1DE0" w:rsidRDefault="0010100C" w:rsidP="008E397B">
      <w:pPr>
        <w:ind w:left="720" w:right="180"/>
        <w:jc w:val="both"/>
        <w:rPr>
          <w:u w:val="none"/>
        </w:rPr>
      </w:pPr>
      <w:r w:rsidRPr="000E1DE0">
        <w:rPr>
          <w:u w:val="none"/>
        </w:rPr>
        <w:t xml:space="preserve">The </w:t>
      </w:r>
      <w:r w:rsidR="00090F95" w:rsidRPr="000E1DE0">
        <w:rPr>
          <w:u w:val="none"/>
        </w:rPr>
        <w:t xml:space="preserve">Agent </w:t>
      </w:r>
      <w:r w:rsidR="00F97987" w:rsidRPr="000E1DE0">
        <w:rPr>
          <w:u w:val="none"/>
        </w:rPr>
        <w:t xml:space="preserve">may establish </w:t>
      </w:r>
      <w:r w:rsidR="0068192B" w:rsidRPr="000E1DE0">
        <w:rPr>
          <w:u w:val="none"/>
        </w:rPr>
        <w:t>a</w:t>
      </w:r>
      <w:r w:rsidR="00F97987" w:rsidRPr="000E1DE0">
        <w:rPr>
          <w:u w:val="none"/>
        </w:rPr>
        <w:t xml:space="preserve"> written policy that revocation of consent will result in termination of assistance or denial of admission</w:t>
      </w:r>
      <w:r w:rsidR="006D06BC" w:rsidRPr="000E1DE0">
        <w:rPr>
          <w:u w:val="none"/>
        </w:rPr>
        <w:t xml:space="preserve"> (except for PRAC-assisted units where it can result in termination of tenancy)</w:t>
      </w:r>
      <w:r w:rsidR="00F97987" w:rsidRPr="000E1DE0">
        <w:rPr>
          <w:u w:val="none"/>
        </w:rPr>
        <w:t>.</w:t>
      </w:r>
      <w:r w:rsidR="006D06BC" w:rsidRPr="000E1DE0">
        <w:rPr>
          <w:u w:val="none"/>
        </w:rPr>
        <w:t xml:space="preserve"> </w:t>
      </w:r>
      <w:r w:rsidR="005A23E9" w:rsidRPr="000E1DE0">
        <w:rPr>
          <w:u w:val="none"/>
        </w:rPr>
        <w:t>The Agent may alternately establish a written policy to deny admission but allow existing participant families to continue to receive assistance after revoking their consent until the next interim or annual reexamination, whichever is sooner.</w:t>
      </w:r>
    </w:p>
    <w:p w14:paraId="1C30D34D" w14:textId="77777777" w:rsidR="00471066" w:rsidRPr="000E1DE0" w:rsidRDefault="00471066" w:rsidP="008E397B">
      <w:pPr>
        <w:ind w:left="720" w:right="180"/>
        <w:jc w:val="both"/>
        <w:rPr>
          <w:u w:val="none"/>
        </w:rPr>
      </w:pPr>
    </w:p>
    <w:p w14:paraId="1826F1B7" w14:textId="77777777" w:rsidR="00471066" w:rsidRPr="000E1DE0" w:rsidRDefault="00471066" w:rsidP="008E397B">
      <w:pPr>
        <w:ind w:left="720" w:right="180"/>
        <w:jc w:val="both"/>
        <w:rPr>
          <w:u w:val="none"/>
        </w:rPr>
      </w:pPr>
      <w:bookmarkStart w:id="33" w:name="_Hlk161753580"/>
      <w:r w:rsidRPr="000E1DE0">
        <w:rPr>
          <w:u w:val="none"/>
        </w:rPr>
        <w:t xml:space="preserve">Has the Agent adopted a policy that revocation of consent will result in termination of assistance, </w:t>
      </w:r>
      <w:r w:rsidR="00E55043" w:rsidRPr="000E1DE0">
        <w:rPr>
          <w:u w:val="none"/>
        </w:rPr>
        <w:t>(except for PRAC-assisted units where it can result in termination of tenancy</w:t>
      </w:r>
      <w:r w:rsidR="005E535C" w:rsidRPr="000E1DE0">
        <w:rPr>
          <w:u w:val="none"/>
        </w:rPr>
        <w:t>) or denial of admission?</w:t>
      </w:r>
      <w:bookmarkEnd w:id="33"/>
      <w:r w:rsidRPr="000E1DE0">
        <w:rPr>
          <w:u w:val="none"/>
        </w:rPr>
        <w:t xml:space="preserve"> </w:t>
      </w:r>
      <w:r w:rsidR="00043130" w:rsidRPr="000E1DE0">
        <w:rPr>
          <w:i/>
          <w:iCs/>
          <w:u w:val="none"/>
        </w:rPr>
        <w:t>(check as applicable)</w:t>
      </w:r>
    </w:p>
    <w:p w14:paraId="2913AA8F" w14:textId="77777777" w:rsidR="00CC172F" w:rsidRPr="000E1DE0" w:rsidRDefault="00CC172F" w:rsidP="008E397B">
      <w:pPr>
        <w:ind w:right="180"/>
        <w:jc w:val="both"/>
        <w:rPr>
          <w:u w:val="none"/>
        </w:rPr>
      </w:pPr>
    </w:p>
    <w:p w14:paraId="728308D0" w14:textId="77777777" w:rsidR="00F61E37" w:rsidRPr="000E1DE0" w:rsidRDefault="00962582" w:rsidP="008E397B">
      <w:pPr>
        <w:ind w:left="1440" w:right="180" w:hanging="450"/>
        <w:jc w:val="both"/>
        <w:rPr>
          <w:u w:val="none"/>
        </w:rPr>
      </w:pPr>
      <w:sdt>
        <w:sdtPr>
          <w:rPr>
            <w:u w:val="none"/>
          </w:rPr>
          <w:id w:val="1021432915"/>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t>Yes</w:t>
      </w:r>
    </w:p>
    <w:p w14:paraId="27F5FDBD" w14:textId="77777777" w:rsidR="00F61E37" w:rsidRPr="000E1DE0" w:rsidRDefault="00962582" w:rsidP="008E397B">
      <w:pPr>
        <w:ind w:left="1440" w:right="180" w:hanging="450"/>
        <w:jc w:val="both"/>
        <w:rPr>
          <w:u w:val="none"/>
        </w:rPr>
      </w:pPr>
      <w:sdt>
        <w:sdtPr>
          <w:rPr>
            <w:u w:val="none"/>
          </w:rPr>
          <w:id w:val="-240871402"/>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t>No</w:t>
      </w:r>
    </w:p>
    <w:p w14:paraId="2313FDF9" w14:textId="77777777" w:rsidR="00471066" w:rsidRPr="000E1DE0" w:rsidRDefault="00471066" w:rsidP="008E397B">
      <w:pPr>
        <w:ind w:right="180"/>
        <w:jc w:val="both"/>
        <w:rPr>
          <w:u w:val="none"/>
        </w:rPr>
      </w:pPr>
    </w:p>
    <w:p w14:paraId="510309C8" w14:textId="77777777" w:rsidR="00471066" w:rsidRPr="000E1DE0" w:rsidRDefault="00471066" w:rsidP="008E397B">
      <w:pPr>
        <w:ind w:left="720" w:right="180"/>
        <w:jc w:val="both"/>
        <w:rPr>
          <w:u w:val="none"/>
        </w:rPr>
      </w:pPr>
      <w:r w:rsidRPr="000E1DE0">
        <w:rPr>
          <w:u w:val="none"/>
        </w:rPr>
        <w:t>Has the Agent adopted a policy to deny admission but allow existing participant families to continue to receive assistance after revoking their consent until the next interim or annual reexamination, whichever is sooner</w:t>
      </w:r>
      <w:r w:rsidR="00E465BB" w:rsidRPr="000E1DE0">
        <w:rPr>
          <w:u w:val="none"/>
        </w:rPr>
        <w:t>, at which time participant families will be required to sign a new consent form</w:t>
      </w:r>
      <w:r w:rsidRPr="000E1DE0">
        <w:rPr>
          <w:u w:val="none"/>
        </w:rPr>
        <w:t>?</w:t>
      </w:r>
      <w:r w:rsidR="00043130" w:rsidRPr="00043130">
        <w:rPr>
          <w:i/>
          <w:iCs/>
          <w:u w:val="none"/>
        </w:rPr>
        <w:t xml:space="preserve"> </w:t>
      </w:r>
      <w:r w:rsidR="00043130" w:rsidRPr="000E1DE0">
        <w:rPr>
          <w:i/>
          <w:iCs/>
          <w:u w:val="none"/>
        </w:rPr>
        <w:t>(check as applicable)</w:t>
      </w:r>
    </w:p>
    <w:p w14:paraId="7C9B0CB4" w14:textId="77777777" w:rsidR="00CC172F" w:rsidRPr="000E1DE0" w:rsidRDefault="00CC172F" w:rsidP="008E397B">
      <w:pPr>
        <w:ind w:right="180"/>
        <w:jc w:val="both"/>
        <w:rPr>
          <w:u w:val="none"/>
        </w:rPr>
      </w:pPr>
    </w:p>
    <w:p w14:paraId="6343476E" w14:textId="77777777" w:rsidR="00F61E37" w:rsidRPr="000E1DE0" w:rsidRDefault="00962582" w:rsidP="008E397B">
      <w:pPr>
        <w:ind w:left="1440" w:right="180" w:hanging="450"/>
        <w:jc w:val="both"/>
        <w:rPr>
          <w:u w:val="none"/>
        </w:rPr>
      </w:pPr>
      <w:sdt>
        <w:sdtPr>
          <w:rPr>
            <w:u w:val="none"/>
          </w:rPr>
          <w:id w:val="87046494"/>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t>Yes</w:t>
      </w:r>
    </w:p>
    <w:p w14:paraId="2718327C" w14:textId="77777777" w:rsidR="00F61E37" w:rsidRPr="000E1DE0" w:rsidRDefault="00962582" w:rsidP="008E397B">
      <w:pPr>
        <w:ind w:left="1440" w:right="180" w:hanging="450"/>
        <w:jc w:val="both"/>
        <w:rPr>
          <w:u w:val="none"/>
        </w:rPr>
      </w:pPr>
      <w:sdt>
        <w:sdtPr>
          <w:rPr>
            <w:u w:val="none"/>
          </w:rPr>
          <w:id w:val="-537820771"/>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t>No</w:t>
      </w:r>
    </w:p>
    <w:p w14:paraId="66558B9F" w14:textId="77777777" w:rsidR="00471066" w:rsidRPr="000E1DE0" w:rsidRDefault="00471066" w:rsidP="008E397B">
      <w:pPr>
        <w:ind w:right="180"/>
        <w:jc w:val="both"/>
        <w:rPr>
          <w:u w:val="none"/>
        </w:rPr>
      </w:pPr>
    </w:p>
    <w:p w14:paraId="7ADA4506" w14:textId="77777777" w:rsidR="009C7526" w:rsidRPr="000E1DE0" w:rsidRDefault="009C7526" w:rsidP="00FE0C37">
      <w:pPr>
        <w:pStyle w:val="ListParagraph"/>
        <w:numPr>
          <w:ilvl w:val="0"/>
          <w:numId w:val="7"/>
        </w:numPr>
        <w:ind w:left="720" w:right="180" w:hanging="450"/>
        <w:rPr>
          <w:b/>
          <w:bCs/>
        </w:rPr>
      </w:pPr>
      <w:r w:rsidRPr="000E1DE0">
        <w:rPr>
          <w:b/>
          <w:bCs/>
        </w:rPr>
        <w:t>Determination of Family Income Using Other Means Tested Public Assistance, i.e., “Safe Harbor”</w:t>
      </w:r>
      <w:r w:rsidR="00532D4A" w:rsidRPr="000E1DE0">
        <w:rPr>
          <w:b/>
          <w:bCs/>
        </w:rPr>
        <w:t xml:space="preserve"> </w:t>
      </w:r>
    </w:p>
    <w:p w14:paraId="2296F776" w14:textId="77777777" w:rsidR="00E613BE" w:rsidRPr="000E1DE0" w:rsidRDefault="00E613BE" w:rsidP="008E397B">
      <w:pPr>
        <w:ind w:right="180"/>
        <w:jc w:val="both"/>
        <w:rPr>
          <w:u w:val="none"/>
        </w:rPr>
      </w:pPr>
    </w:p>
    <w:p w14:paraId="14A01C26" w14:textId="77777777" w:rsidR="00320DBC" w:rsidRPr="000E1DE0" w:rsidRDefault="00320DBC" w:rsidP="008E397B">
      <w:pPr>
        <w:ind w:left="720" w:right="180"/>
        <w:jc w:val="both"/>
        <w:rPr>
          <w:u w:val="none"/>
        </w:rPr>
      </w:pPr>
      <w:r w:rsidRPr="000E1DE0">
        <w:rPr>
          <w:u w:val="none"/>
        </w:rPr>
        <w:t xml:space="preserve">Regulations: 24 CFR §§ 5.609(c)(3); 891.105; 891.410(b)-(c) and (g); and </w:t>
      </w:r>
      <w:r w:rsidRPr="000E1DE0">
        <w:rPr>
          <w:u w:val="none"/>
        </w:rPr>
        <w:lastRenderedPageBreak/>
        <w:t>891.610(b)-(c) and (g)</w:t>
      </w:r>
    </w:p>
    <w:p w14:paraId="5D648CB5" w14:textId="77777777" w:rsidR="00FA5FA8" w:rsidRPr="000E1DE0" w:rsidRDefault="00FA5FA8" w:rsidP="008E397B">
      <w:pPr>
        <w:ind w:left="720" w:right="180"/>
        <w:jc w:val="both"/>
        <w:rPr>
          <w:u w:val="none"/>
        </w:rPr>
      </w:pPr>
    </w:p>
    <w:p w14:paraId="7576F0B7"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6EFD8B12" w14:textId="77777777" w:rsidR="00351772" w:rsidRPr="000E1DE0" w:rsidRDefault="00351772" w:rsidP="008E397B">
      <w:pPr>
        <w:ind w:left="720" w:right="180"/>
        <w:jc w:val="both"/>
        <w:rPr>
          <w:u w:val="none"/>
        </w:rPr>
      </w:pPr>
    </w:p>
    <w:p w14:paraId="0FCD35A4" w14:textId="77777777" w:rsidR="006A4627" w:rsidRPr="000E1DE0" w:rsidRDefault="005A23E9" w:rsidP="008E397B">
      <w:pPr>
        <w:ind w:left="720" w:right="180"/>
        <w:jc w:val="both"/>
        <w:rPr>
          <w:u w:val="none"/>
        </w:rPr>
      </w:pPr>
      <w:r w:rsidRPr="000E1DE0">
        <w:rPr>
          <w:u w:val="none"/>
        </w:rPr>
        <w:t xml:space="preserve">The </w:t>
      </w:r>
      <w:r w:rsidR="00090F95" w:rsidRPr="000E1DE0">
        <w:rPr>
          <w:u w:val="none"/>
        </w:rPr>
        <w:t xml:space="preserve">Agent </w:t>
      </w:r>
      <w:r w:rsidR="006A4627" w:rsidRPr="000E1DE0">
        <w:rPr>
          <w:u w:val="none"/>
        </w:rPr>
        <w:t xml:space="preserve">may determine the family’s </w:t>
      </w:r>
      <w:r w:rsidR="008A6525" w:rsidRPr="000E1DE0">
        <w:rPr>
          <w:u w:val="none"/>
        </w:rPr>
        <w:t xml:space="preserve">gross annual </w:t>
      </w:r>
      <w:r w:rsidR="006A4627" w:rsidRPr="000E1DE0">
        <w:rPr>
          <w:u w:val="none"/>
        </w:rPr>
        <w:t>income</w:t>
      </w:r>
      <w:r w:rsidR="005B33B3" w:rsidRPr="000E1DE0">
        <w:rPr>
          <w:u w:val="none"/>
        </w:rPr>
        <w:t xml:space="preserve">, including income from assets, </w:t>
      </w:r>
      <w:r w:rsidR="006A4627" w:rsidRPr="000E1DE0">
        <w:rPr>
          <w:u w:val="none"/>
        </w:rPr>
        <w:t>prior</w:t>
      </w:r>
      <w:r w:rsidR="008A6525" w:rsidRPr="000E1DE0">
        <w:rPr>
          <w:u w:val="none"/>
        </w:rPr>
        <w:t xml:space="preserve"> </w:t>
      </w:r>
      <w:r w:rsidR="006A4627" w:rsidRPr="000E1DE0">
        <w:rPr>
          <w:u w:val="none"/>
        </w:rPr>
        <w:t>to the application of any deductions based on income determinations made within the previous 12-month period</w:t>
      </w:r>
      <w:r w:rsidR="005B33B3" w:rsidRPr="000E1DE0">
        <w:rPr>
          <w:u w:val="none"/>
        </w:rPr>
        <w:t>, using income determinations from the following types of</w:t>
      </w:r>
      <w:r w:rsidR="006A4627" w:rsidRPr="000E1DE0">
        <w:rPr>
          <w:u w:val="none"/>
        </w:rPr>
        <w:t xml:space="preserve"> means-tested forms of </w:t>
      </w:r>
      <w:r w:rsidR="00E62569" w:rsidRPr="000E1DE0">
        <w:rPr>
          <w:u w:val="none"/>
        </w:rPr>
        <w:t xml:space="preserve">federal </w:t>
      </w:r>
      <w:r w:rsidR="006A4627" w:rsidRPr="000E1DE0">
        <w:rPr>
          <w:u w:val="none"/>
        </w:rPr>
        <w:t>public assistance</w:t>
      </w:r>
      <w:r w:rsidR="00E62569" w:rsidRPr="000E1DE0">
        <w:rPr>
          <w:u w:val="none"/>
        </w:rPr>
        <w:t xml:space="preserve"> programs</w:t>
      </w:r>
      <w:r w:rsidR="006A4627" w:rsidRPr="000E1DE0">
        <w:rPr>
          <w:u w:val="none"/>
        </w:rPr>
        <w:t>:</w:t>
      </w:r>
    </w:p>
    <w:p w14:paraId="4E8F910B" w14:textId="77777777" w:rsidR="00532D4A" w:rsidRPr="000E1DE0" w:rsidRDefault="00532D4A" w:rsidP="008E397B">
      <w:pPr>
        <w:ind w:left="720" w:right="180"/>
        <w:jc w:val="both"/>
        <w:rPr>
          <w:u w:val="none"/>
        </w:rPr>
      </w:pPr>
    </w:p>
    <w:p w14:paraId="74BC433C" w14:textId="77777777" w:rsidR="006A4627" w:rsidRPr="000E1DE0" w:rsidRDefault="006A4627" w:rsidP="00FE0C37">
      <w:pPr>
        <w:pStyle w:val="ListParagraph"/>
        <w:numPr>
          <w:ilvl w:val="0"/>
          <w:numId w:val="2"/>
        </w:numPr>
        <w:ind w:left="1440" w:right="180"/>
        <w:jc w:val="both"/>
        <w:rPr>
          <w:u w:val="none"/>
        </w:rPr>
      </w:pPr>
      <w:r w:rsidRPr="000E1DE0">
        <w:rPr>
          <w:u w:val="none"/>
        </w:rPr>
        <w:t xml:space="preserve">The Temporary Assistance for Needy Families </w:t>
      </w:r>
      <w:r w:rsidR="00F973B9" w:rsidRPr="000E1DE0">
        <w:rPr>
          <w:u w:val="none"/>
        </w:rPr>
        <w:t>(TANF)</w:t>
      </w:r>
      <w:r w:rsidRPr="000E1DE0">
        <w:rPr>
          <w:u w:val="none"/>
        </w:rPr>
        <w:t xml:space="preserve"> </w:t>
      </w:r>
    </w:p>
    <w:p w14:paraId="756C58BE" w14:textId="77777777" w:rsidR="006A4627" w:rsidRPr="000E1DE0" w:rsidRDefault="006A4627" w:rsidP="00FE0C37">
      <w:pPr>
        <w:pStyle w:val="ListParagraph"/>
        <w:numPr>
          <w:ilvl w:val="0"/>
          <w:numId w:val="2"/>
        </w:numPr>
        <w:ind w:left="1440" w:right="180"/>
        <w:jc w:val="both"/>
        <w:rPr>
          <w:u w:val="none"/>
        </w:rPr>
      </w:pPr>
      <w:r w:rsidRPr="000E1DE0">
        <w:rPr>
          <w:u w:val="none"/>
        </w:rPr>
        <w:t xml:space="preserve">Medicaid </w:t>
      </w:r>
    </w:p>
    <w:p w14:paraId="58956C48" w14:textId="77777777" w:rsidR="006A4627" w:rsidRPr="000E1DE0" w:rsidRDefault="006A4627" w:rsidP="00FE0C37">
      <w:pPr>
        <w:pStyle w:val="ListParagraph"/>
        <w:numPr>
          <w:ilvl w:val="0"/>
          <w:numId w:val="2"/>
        </w:numPr>
        <w:ind w:left="1440" w:right="180"/>
        <w:jc w:val="both"/>
        <w:rPr>
          <w:u w:val="none"/>
        </w:rPr>
      </w:pPr>
      <w:r w:rsidRPr="000E1DE0">
        <w:rPr>
          <w:u w:val="none"/>
        </w:rPr>
        <w:t>The Supplemental Nutrition Assistance Program (</w:t>
      </w:r>
      <w:r w:rsidR="00B27ADB" w:rsidRPr="000E1DE0">
        <w:rPr>
          <w:u w:val="none"/>
        </w:rPr>
        <w:t>SNAP</w:t>
      </w:r>
      <w:r w:rsidRPr="000E1DE0">
        <w:rPr>
          <w:u w:val="none"/>
        </w:rPr>
        <w:t>)</w:t>
      </w:r>
    </w:p>
    <w:p w14:paraId="7767D859" w14:textId="77777777" w:rsidR="006A4627" w:rsidRPr="000E1DE0" w:rsidRDefault="006A4627" w:rsidP="00FE0C37">
      <w:pPr>
        <w:pStyle w:val="ListParagraph"/>
        <w:numPr>
          <w:ilvl w:val="0"/>
          <w:numId w:val="2"/>
        </w:numPr>
        <w:ind w:left="1440" w:right="180"/>
        <w:jc w:val="both"/>
        <w:rPr>
          <w:u w:val="none"/>
        </w:rPr>
      </w:pPr>
      <w:r w:rsidRPr="000E1DE0">
        <w:rPr>
          <w:u w:val="none"/>
        </w:rPr>
        <w:t>The Earned Income Tax Credit (</w:t>
      </w:r>
      <w:r w:rsidR="00B27ADB" w:rsidRPr="000E1DE0">
        <w:rPr>
          <w:u w:val="none"/>
        </w:rPr>
        <w:t>EITC</w:t>
      </w:r>
      <w:r w:rsidRPr="000E1DE0">
        <w:rPr>
          <w:u w:val="none"/>
        </w:rPr>
        <w:t>)</w:t>
      </w:r>
    </w:p>
    <w:p w14:paraId="65E3D87F" w14:textId="77777777" w:rsidR="006A4627" w:rsidRPr="000E1DE0" w:rsidRDefault="006A4627" w:rsidP="00FE0C37">
      <w:pPr>
        <w:pStyle w:val="ListParagraph"/>
        <w:numPr>
          <w:ilvl w:val="0"/>
          <w:numId w:val="2"/>
        </w:numPr>
        <w:ind w:left="1440" w:right="180"/>
        <w:jc w:val="both"/>
        <w:rPr>
          <w:u w:val="none"/>
        </w:rPr>
      </w:pPr>
      <w:r w:rsidRPr="000E1DE0">
        <w:rPr>
          <w:u w:val="none"/>
        </w:rPr>
        <w:t>The Low-Income Housing Tax Credit (</w:t>
      </w:r>
      <w:r w:rsidR="00B27ADB" w:rsidRPr="000E1DE0">
        <w:rPr>
          <w:u w:val="none"/>
        </w:rPr>
        <w:t>LIHTC</w:t>
      </w:r>
      <w:r w:rsidRPr="000E1DE0">
        <w:rPr>
          <w:u w:val="none"/>
        </w:rPr>
        <w:t>)</w:t>
      </w:r>
    </w:p>
    <w:p w14:paraId="70F57E3D" w14:textId="77777777" w:rsidR="006A4627" w:rsidRPr="000E1DE0" w:rsidRDefault="006A4627" w:rsidP="00FE0C37">
      <w:pPr>
        <w:pStyle w:val="ListParagraph"/>
        <w:numPr>
          <w:ilvl w:val="0"/>
          <w:numId w:val="2"/>
        </w:numPr>
        <w:ind w:left="1440" w:right="180"/>
        <w:jc w:val="both"/>
        <w:rPr>
          <w:u w:val="none"/>
        </w:rPr>
      </w:pPr>
      <w:r w:rsidRPr="000E1DE0">
        <w:rPr>
          <w:u w:val="none"/>
        </w:rPr>
        <w:t>The Special Supplemental Nutrition for Woman, Infants, and Children (</w:t>
      </w:r>
      <w:r w:rsidR="00AA6932" w:rsidRPr="000E1DE0">
        <w:rPr>
          <w:u w:val="none"/>
        </w:rPr>
        <w:t>WIC</w:t>
      </w:r>
      <w:r w:rsidRPr="000E1DE0">
        <w:rPr>
          <w:u w:val="none"/>
        </w:rPr>
        <w:t>)</w:t>
      </w:r>
    </w:p>
    <w:p w14:paraId="14F8DEE7" w14:textId="77777777" w:rsidR="00BD6EE0" w:rsidRPr="000E1DE0" w:rsidRDefault="00BD6EE0" w:rsidP="00FE0C37">
      <w:pPr>
        <w:pStyle w:val="ListParagraph"/>
        <w:numPr>
          <w:ilvl w:val="0"/>
          <w:numId w:val="2"/>
        </w:numPr>
        <w:ind w:left="1440" w:right="180"/>
        <w:rPr>
          <w:u w:val="none"/>
        </w:rPr>
      </w:pPr>
      <w:r w:rsidRPr="000E1DE0">
        <w:rPr>
          <w:u w:val="none"/>
        </w:rPr>
        <w:t>Supplemental Security Income</w:t>
      </w:r>
    </w:p>
    <w:p w14:paraId="2A8BF765" w14:textId="77777777" w:rsidR="009C7526" w:rsidRPr="000E1DE0" w:rsidRDefault="006A4627" w:rsidP="00FE0C37">
      <w:pPr>
        <w:pStyle w:val="ListParagraph"/>
        <w:numPr>
          <w:ilvl w:val="0"/>
          <w:numId w:val="2"/>
        </w:numPr>
        <w:ind w:left="1440" w:right="180"/>
        <w:jc w:val="both"/>
        <w:rPr>
          <w:u w:val="none"/>
        </w:rPr>
      </w:pPr>
      <w:r w:rsidRPr="000E1DE0">
        <w:rPr>
          <w:u w:val="none"/>
        </w:rPr>
        <w:t>Other programs administered by the Secretary.</w:t>
      </w:r>
    </w:p>
    <w:p w14:paraId="569EAF5D" w14:textId="77777777" w:rsidR="00EE11B7" w:rsidRPr="000E1DE0" w:rsidRDefault="00EE11B7" w:rsidP="00FE0C37">
      <w:pPr>
        <w:pStyle w:val="ListParagraph"/>
        <w:numPr>
          <w:ilvl w:val="0"/>
          <w:numId w:val="2"/>
        </w:numPr>
        <w:ind w:left="1440" w:right="180"/>
        <w:jc w:val="both"/>
        <w:rPr>
          <w:u w:val="none"/>
        </w:rPr>
      </w:pPr>
      <w:r w:rsidRPr="000E1DE0">
        <w:rPr>
          <w:u w:val="none"/>
        </w:rPr>
        <w:t>Other means-tested forms of Federal public assistance for which HUD has established a memorandum of understanding.</w:t>
      </w:r>
    </w:p>
    <w:p w14:paraId="20BA5C2D" w14:textId="77777777" w:rsidR="00EE11B7" w:rsidRPr="000E1DE0" w:rsidRDefault="00EE11B7" w:rsidP="00FE0C37">
      <w:pPr>
        <w:pStyle w:val="ListParagraph"/>
        <w:numPr>
          <w:ilvl w:val="0"/>
          <w:numId w:val="2"/>
        </w:numPr>
        <w:ind w:left="1440" w:right="180"/>
        <w:jc w:val="both"/>
        <w:rPr>
          <w:u w:val="none"/>
        </w:rPr>
      </w:pPr>
      <w:r w:rsidRPr="000E1DE0">
        <w:rPr>
          <w:u w:val="none"/>
        </w:rPr>
        <w:t>Other Federal benefit determinations made by other means-tested Federal programs that the Secretary determines to have comparable reliability and announces through a Federal Register notice.</w:t>
      </w:r>
    </w:p>
    <w:p w14:paraId="286EF893" w14:textId="77777777" w:rsidR="0042691F" w:rsidRPr="000E1DE0" w:rsidRDefault="0042691F" w:rsidP="008E397B">
      <w:pPr>
        <w:ind w:left="720" w:right="180"/>
        <w:jc w:val="both"/>
        <w:rPr>
          <w:u w:val="none"/>
        </w:rPr>
      </w:pPr>
    </w:p>
    <w:p w14:paraId="4442EB28" w14:textId="77777777" w:rsidR="008E77E3" w:rsidRPr="000E1DE0" w:rsidRDefault="008E77E3" w:rsidP="008E397B">
      <w:pPr>
        <w:ind w:left="720" w:right="180"/>
        <w:jc w:val="both"/>
        <w:rPr>
          <w:u w:val="none"/>
        </w:rPr>
      </w:pPr>
      <w:r w:rsidRPr="000E1DE0">
        <w:rPr>
          <w:u w:val="none"/>
        </w:rPr>
        <w:t>Safe Harbor verification must be obtained by means of third-party verification and must state the family size, must be for the entire family (i.e., the family members listed in the document</w:t>
      </w:r>
      <w:r w:rsidR="00775B4D" w:rsidRPr="000E1DE0">
        <w:rPr>
          <w:u w:val="none"/>
        </w:rPr>
        <w:t>at</w:t>
      </w:r>
      <w:r w:rsidR="00C96DAC" w:rsidRPr="000E1DE0">
        <w:rPr>
          <w:u w:val="none"/>
        </w:rPr>
        <w:t>ion</w:t>
      </w:r>
      <w:r w:rsidRPr="000E1DE0">
        <w:rPr>
          <w:u w:val="none"/>
        </w:rPr>
        <w:t xml:space="preserve"> must match the family’s composition in the assisted unit, except for household members) and must state the amount of the family’s annual income.</w:t>
      </w:r>
    </w:p>
    <w:p w14:paraId="56442982" w14:textId="77777777" w:rsidR="008E77E3" w:rsidRPr="000E1DE0" w:rsidRDefault="008E77E3" w:rsidP="008E397B">
      <w:pPr>
        <w:ind w:left="720" w:right="180"/>
        <w:jc w:val="both"/>
        <w:rPr>
          <w:u w:val="none"/>
        </w:rPr>
      </w:pPr>
    </w:p>
    <w:p w14:paraId="0FF9411D" w14:textId="77777777" w:rsidR="008E77E3" w:rsidRPr="000E1DE0" w:rsidRDefault="008E77E3" w:rsidP="008E397B">
      <w:pPr>
        <w:ind w:left="720" w:right="180"/>
        <w:jc w:val="both"/>
        <w:rPr>
          <w:u w:val="none"/>
        </w:rPr>
      </w:pPr>
      <w:r w:rsidRPr="000E1DE0">
        <w:rPr>
          <w:u w:val="none"/>
        </w:rPr>
        <w:t>Safe Harbor verification must not be mixed and matched with other income verifications, including other Safe Harbor income determinations.</w:t>
      </w:r>
    </w:p>
    <w:p w14:paraId="6843A3B0" w14:textId="77777777" w:rsidR="00F22665" w:rsidRPr="000E1DE0" w:rsidRDefault="00F22665" w:rsidP="008E397B">
      <w:pPr>
        <w:ind w:left="720" w:right="180"/>
        <w:jc w:val="both"/>
        <w:rPr>
          <w:b/>
          <w:bCs/>
          <w:u w:val="none"/>
        </w:rPr>
      </w:pPr>
    </w:p>
    <w:p w14:paraId="05EB92F3" w14:textId="77777777" w:rsidR="00351772" w:rsidRPr="000E1DE0" w:rsidRDefault="00351772" w:rsidP="008E397B">
      <w:pPr>
        <w:ind w:left="720" w:right="180"/>
        <w:jc w:val="both"/>
        <w:rPr>
          <w:b/>
          <w:bCs/>
          <w:u w:val="none"/>
        </w:rPr>
      </w:pPr>
      <w:r w:rsidRPr="000E1DE0">
        <w:rPr>
          <w:b/>
          <w:bCs/>
          <w:u w:val="none"/>
        </w:rPr>
        <w:t>Agent’s Discretionary Policy</w:t>
      </w:r>
      <w:r w:rsidR="00C351C2" w:rsidRPr="000E1DE0">
        <w:rPr>
          <w:b/>
          <w:bCs/>
          <w:u w:val="none"/>
        </w:rPr>
        <w:t xml:space="preserve"> – Income determination</w:t>
      </w:r>
    </w:p>
    <w:p w14:paraId="397118FE" w14:textId="77777777" w:rsidR="009C7526" w:rsidRPr="000E1DE0" w:rsidRDefault="009C7526" w:rsidP="008E397B">
      <w:pPr>
        <w:ind w:left="720" w:right="180"/>
        <w:jc w:val="both"/>
        <w:rPr>
          <w:u w:val="none"/>
        </w:rPr>
      </w:pPr>
    </w:p>
    <w:p w14:paraId="42D8A243" w14:textId="77777777" w:rsidR="006B30EC" w:rsidRPr="000E1DE0" w:rsidRDefault="00705924" w:rsidP="008E397B">
      <w:pPr>
        <w:ind w:left="720" w:right="180"/>
        <w:jc w:val="both"/>
        <w:rPr>
          <w:u w:val="none"/>
        </w:rPr>
      </w:pPr>
      <w:r w:rsidRPr="000E1DE0">
        <w:rPr>
          <w:u w:val="none"/>
        </w:rPr>
        <w:t>T</w:t>
      </w:r>
      <w:r w:rsidR="006B30EC" w:rsidRPr="000E1DE0">
        <w:rPr>
          <w:u w:val="none"/>
        </w:rPr>
        <w:t xml:space="preserve">he </w:t>
      </w:r>
      <w:r w:rsidR="00C45251" w:rsidRPr="000E1DE0">
        <w:rPr>
          <w:u w:val="none"/>
        </w:rPr>
        <w:t>Agent</w:t>
      </w:r>
      <w:r w:rsidR="006B30EC" w:rsidRPr="000E1DE0">
        <w:rPr>
          <w:u w:val="none"/>
        </w:rPr>
        <w:t xml:space="preserve"> </w:t>
      </w:r>
      <w:r w:rsidRPr="000E1DE0">
        <w:rPr>
          <w:u w:val="none"/>
        </w:rPr>
        <w:t xml:space="preserve">has adopted a policy to </w:t>
      </w:r>
      <w:r w:rsidR="006B30EC" w:rsidRPr="000E1DE0">
        <w:rPr>
          <w:u w:val="none"/>
        </w:rPr>
        <w:t>accept or use determinations of income from other Federal means-tested forms of assistance</w:t>
      </w:r>
      <w:r w:rsidRPr="000E1DE0">
        <w:rPr>
          <w:u w:val="none"/>
        </w:rPr>
        <w:t>.</w:t>
      </w:r>
      <w:r w:rsidR="006A5744" w:rsidRPr="000E1DE0">
        <w:rPr>
          <w:u w:val="none"/>
        </w:rPr>
        <w:t xml:space="preserve"> </w:t>
      </w:r>
      <w:r w:rsidR="006A5744" w:rsidRPr="000E1DE0">
        <w:rPr>
          <w:i/>
          <w:iCs/>
          <w:u w:val="none"/>
        </w:rPr>
        <w:t>(check as applicable)</w:t>
      </w:r>
    </w:p>
    <w:p w14:paraId="0BD5C3F4" w14:textId="77777777" w:rsidR="00814E24" w:rsidRPr="000E1DE0" w:rsidRDefault="00814E24" w:rsidP="008E397B">
      <w:pPr>
        <w:ind w:right="180"/>
        <w:jc w:val="both"/>
        <w:rPr>
          <w:u w:val="none"/>
        </w:rPr>
      </w:pPr>
    </w:p>
    <w:p w14:paraId="22CB126D" w14:textId="77777777" w:rsidR="00F61E37" w:rsidRPr="000E1DE0" w:rsidRDefault="00962582" w:rsidP="008E397B">
      <w:pPr>
        <w:ind w:left="1440" w:right="180" w:hanging="450"/>
        <w:jc w:val="both"/>
        <w:rPr>
          <w:u w:val="none"/>
        </w:rPr>
      </w:pPr>
      <w:sdt>
        <w:sdtPr>
          <w:rPr>
            <w:u w:val="none"/>
          </w:rPr>
          <w:id w:val="805977569"/>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F61E37" w:rsidRPr="000E1DE0">
        <w:rPr>
          <w:u w:val="none"/>
        </w:rPr>
        <w:t>Yes</w:t>
      </w:r>
    </w:p>
    <w:p w14:paraId="638EAE92" w14:textId="77777777" w:rsidR="00F61E37" w:rsidRPr="000E1DE0" w:rsidRDefault="00962582" w:rsidP="008E397B">
      <w:pPr>
        <w:ind w:left="1440" w:right="180" w:hanging="450"/>
        <w:jc w:val="both"/>
        <w:rPr>
          <w:u w:val="none"/>
        </w:rPr>
      </w:pPr>
      <w:sdt>
        <w:sdtPr>
          <w:rPr>
            <w:u w:val="none"/>
          </w:rPr>
          <w:id w:val="-530193210"/>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t>No</w:t>
      </w:r>
    </w:p>
    <w:p w14:paraId="73CC021C" w14:textId="77777777" w:rsidR="00814E24" w:rsidRPr="000E1DE0" w:rsidRDefault="00814E24" w:rsidP="008E397B">
      <w:pPr>
        <w:ind w:right="180"/>
        <w:jc w:val="both"/>
        <w:rPr>
          <w:u w:val="none"/>
        </w:rPr>
      </w:pPr>
    </w:p>
    <w:p w14:paraId="7479DBAA" w14:textId="77777777" w:rsidR="00EE11B7" w:rsidRPr="000E1DE0" w:rsidRDefault="009078A1" w:rsidP="008E397B">
      <w:pPr>
        <w:ind w:left="720" w:right="180"/>
        <w:jc w:val="both"/>
        <w:rPr>
          <w:u w:val="none"/>
        </w:rPr>
      </w:pPr>
      <w:r w:rsidRPr="000E1DE0">
        <w:rPr>
          <w:u w:val="none"/>
        </w:rPr>
        <w:t>If yes:</w:t>
      </w:r>
    </w:p>
    <w:p w14:paraId="01ECED64" w14:textId="77777777" w:rsidR="00512CAC" w:rsidRPr="000E1DE0" w:rsidRDefault="00EE11B7" w:rsidP="00FE0C37">
      <w:pPr>
        <w:pStyle w:val="ListParagraph"/>
        <w:numPr>
          <w:ilvl w:val="0"/>
          <w:numId w:val="2"/>
        </w:numPr>
        <w:ind w:left="1440" w:right="180"/>
        <w:jc w:val="both"/>
        <w:rPr>
          <w:u w:val="none"/>
        </w:rPr>
      </w:pPr>
      <w:r w:rsidRPr="000E1DE0">
        <w:rPr>
          <w:u w:val="none"/>
        </w:rPr>
        <w:t>Safe Harbor income determination</w:t>
      </w:r>
      <w:r w:rsidR="00E91D38" w:rsidRPr="000E1DE0">
        <w:rPr>
          <w:u w:val="none"/>
        </w:rPr>
        <w:t>s</w:t>
      </w:r>
      <w:r w:rsidR="004B7789" w:rsidRPr="000E1DE0">
        <w:rPr>
          <w:u w:val="none"/>
        </w:rPr>
        <w:t xml:space="preserve"> </w:t>
      </w:r>
      <w:r w:rsidR="00705924" w:rsidRPr="000E1DE0">
        <w:rPr>
          <w:u w:val="none"/>
        </w:rPr>
        <w:t xml:space="preserve">shall be </w:t>
      </w:r>
      <w:r w:rsidR="004B7789" w:rsidRPr="000E1DE0">
        <w:rPr>
          <w:u w:val="none"/>
        </w:rPr>
        <w:t>accepted</w:t>
      </w:r>
      <w:r w:rsidR="00705924" w:rsidRPr="000E1DE0">
        <w:rPr>
          <w:u w:val="none"/>
        </w:rPr>
        <w:t>:</w:t>
      </w:r>
      <w:r w:rsidR="006A5744" w:rsidRPr="000E1DE0">
        <w:rPr>
          <w:u w:val="none"/>
        </w:rPr>
        <w:t xml:space="preserve"> </w:t>
      </w:r>
      <w:r w:rsidR="006A5744" w:rsidRPr="000E1DE0">
        <w:rPr>
          <w:i/>
          <w:iCs/>
          <w:u w:val="none"/>
        </w:rPr>
        <w:t>(check as applicable)</w:t>
      </w:r>
      <w:r w:rsidR="006A5744" w:rsidRPr="000E1DE0">
        <w:rPr>
          <w:u w:val="none"/>
        </w:rPr>
        <w:t>:</w:t>
      </w:r>
    </w:p>
    <w:p w14:paraId="795BC6B4" w14:textId="77777777" w:rsidR="00CC172F" w:rsidRPr="000E1DE0" w:rsidRDefault="00CC172F" w:rsidP="008E397B">
      <w:pPr>
        <w:pStyle w:val="ListParagraph"/>
        <w:ind w:left="1440" w:right="180"/>
        <w:jc w:val="both"/>
        <w:rPr>
          <w:u w:val="none"/>
        </w:rPr>
      </w:pPr>
    </w:p>
    <w:p w14:paraId="50E2DC21" w14:textId="77777777" w:rsidR="008E1340" w:rsidRPr="000E1DE0" w:rsidRDefault="00962582" w:rsidP="008E397B">
      <w:pPr>
        <w:ind w:left="2070" w:right="180" w:hanging="450"/>
        <w:jc w:val="both"/>
        <w:rPr>
          <w:u w:val="none"/>
        </w:rPr>
      </w:pPr>
      <w:sdt>
        <w:sdtPr>
          <w:rPr>
            <w:u w:val="none"/>
          </w:rPr>
          <w:id w:val="-15010896"/>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F61E37" w:rsidRPr="000E1DE0">
        <w:rPr>
          <w:u w:val="none"/>
        </w:rPr>
        <w:tab/>
      </w:r>
      <w:r w:rsidR="008E1340" w:rsidRPr="000E1DE0">
        <w:rPr>
          <w:u w:val="none"/>
        </w:rPr>
        <w:t xml:space="preserve">At Initial </w:t>
      </w:r>
      <w:r w:rsidR="00EF65A7" w:rsidRPr="000E1DE0">
        <w:rPr>
          <w:u w:val="none"/>
        </w:rPr>
        <w:t xml:space="preserve">Certification </w:t>
      </w:r>
      <w:r w:rsidR="008E1340" w:rsidRPr="000E1DE0">
        <w:rPr>
          <w:u w:val="none"/>
        </w:rPr>
        <w:t>&amp; Annual Recertification</w:t>
      </w:r>
    </w:p>
    <w:p w14:paraId="2A23CEC2" w14:textId="77777777" w:rsidR="008E1340" w:rsidRPr="000E1DE0" w:rsidRDefault="00962582" w:rsidP="008E397B">
      <w:pPr>
        <w:ind w:left="2070" w:right="180" w:hanging="450"/>
        <w:jc w:val="both"/>
        <w:rPr>
          <w:u w:val="none"/>
        </w:rPr>
      </w:pPr>
      <w:sdt>
        <w:sdtPr>
          <w:rPr>
            <w:u w:val="none"/>
          </w:rPr>
          <w:id w:val="-1528638074"/>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EB5660" w:rsidRPr="000E1DE0">
        <w:rPr>
          <w:u w:val="none"/>
        </w:rPr>
        <w:tab/>
      </w:r>
      <w:r w:rsidR="008E1340" w:rsidRPr="000E1DE0">
        <w:rPr>
          <w:u w:val="none"/>
        </w:rPr>
        <w:t xml:space="preserve">At Initial </w:t>
      </w:r>
      <w:r w:rsidR="00A62C25" w:rsidRPr="000E1DE0">
        <w:rPr>
          <w:u w:val="none"/>
        </w:rPr>
        <w:t xml:space="preserve">Certification </w:t>
      </w:r>
      <w:r w:rsidR="00560EB8" w:rsidRPr="000E1DE0">
        <w:rPr>
          <w:u w:val="none"/>
        </w:rPr>
        <w:t>o</w:t>
      </w:r>
      <w:r w:rsidR="008E1340" w:rsidRPr="000E1DE0">
        <w:rPr>
          <w:u w:val="none"/>
        </w:rPr>
        <w:t>nly</w:t>
      </w:r>
    </w:p>
    <w:bookmarkStart w:id="34" w:name="_Hlk162965185"/>
    <w:p w14:paraId="3ABFAA1D" w14:textId="77777777" w:rsidR="008E1340" w:rsidRPr="000E1DE0" w:rsidRDefault="00962582" w:rsidP="008E397B">
      <w:pPr>
        <w:ind w:left="2070" w:right="180" w:hanging="450"/>
        <w:jc w:val="both"/>
        <w:rPr>
          <w:u w:val="none"/>
        </w:rPr>
      </w:pPr>
      <w:sdt>
        <w:sdtPr>
          <w:rPr>
            <w:u w:val="none"/>
          </w:rPr>
          <w:id w:val="861868693"/>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EB5660" w:rsidRPr="000E1DE0">
        <w:rPr>
          <w:u w:val="none"/>
        </w:rPr>
        <w:tab/>
      </w:r>
      <w:r w:rsidR="008E1340" w:rsidRPr="000E1DE0">
        <w:rPr>
          <w:u w:val="none"/>
        </w:rPr>
        <w:t>At Recertification only</w:t>
      </w:r>
    </w:p>
    <w:bookmarkEnd w:id="34"/>
    <w:p w14:paraId="65EDF8DE" w14:textId="77777777" w:rsidR="000F5D45" w:rsidRPr="000E1DE0" w:rsidRDefault="000F5D45" w:rsidP="008E397B">
      <w:pPr>
        <w:pStyle w:val="ListParagraph"/>
        <w:ind w:left="1440" w:right="180" w:firstLine="720"/>
        <w:jc w:val="both"/>
        <w:rPr>
          <w:u w:val="none"/>
        </w:rPr>
      </w:pPr>
    </w:p>
    <w:p w14:paraId="757150C9" w14:textId="77777777" w:rsidR="00EE11B7" w:rsidRPr="000E1DE0" w:rsidRDefault="00705924" w:rsidP="00FE0C37">
      <w:pPr>
        <w:pStyle w:val="ListParagraph"/>
        <w:numPr>
          <w:ilvl w:val="0"/>
          <w:numId w:val="2"/>
        </w:numPr>
        <w:ind w:left="1440" w:right="180"/>
        <w:jc w:val="both"/>
        <w:rPr>
          <w:u w:val="none"/>
        </w:rPr>
      </w:pPr>
      <w:r w:rsidRPr="000E1DE0">
        <w:rPr>
          <w:u w:val="none"/>
        </w:rPr>
        <w:t>P</w:t>
      </w:r>
      <w:r w:rsidR="00A543B4" w:rsidRPr="000E1DE0">
        <w:rPr>
          <w:u w:val="none"/>
        </w:rPr>
        <w:t>rograms</w:t>
      </w:r>
      <w:r w:rsidRPr="000E1DE0">
        <w:rPr>
          <w:u w:val="none"/>
        </w:rPr>
        <w:t xml:space="preserve"> from which</w:t>
      </w:r>
      <w:r w:rsidR="00EE11B7" w:rsidRPr="000E1DE0">
        <w:rPr>
          <w:u w:val="none"/>
        </w:rPr>
        <w:t xml:space="preserve"> income determinations</w:t>
      </w:r>
      <w:r w:rsidR="00F520F7" w:rsidRPr="000E1DE0">
        <w:rPr>
          <w:u w:val="none"/>
        </w:rPr>
        <w:t xml:space="preserve"> will be accepted</w:t>
      </w:r>
      <w:r w:rsidRPr="000E1DE0">
        <w:rPr>
          <w:u w:val="none"/>
        </w:rPr>
        <w:t>:</w:t>
      </w:r>
    </w:p>
    <w:p w14:paraId="17351DB1" w14:textId="77777777" w:rsidR="0020546D" w:rsidRPr="000E1DE0" w:rsidRDefault="0020546D" w:rsidP="008E397B">
      <w:pPr>
        <w:ind w:left="720" w:right="180"/>
        <w:jc w:val="both"/>
        <w:rPr>
          <w:u w:val="none"/>
        </w:rPr>
      </w:pPr>
    </w:p>
    <w:tbl>
      <w:tblPr>
        <w:tblStyle w:val="TableGrid"/>
        <w:tblW w:w="4524" w:type="pct"/>
        <w:tblInd w:w="715" w:type="dxa"/>
        <w:tblCellMar>
          <w:top w:w="115" w:type="dxa"/>
          <w:bottom w:w="115" w:type="dxa"/>
        </w:tblCellMar>
        <w:tblLook w:val="04A0" w:firstRow="1" w:lastRow="0" w:firstColumn="1" w:lastColumn="0" w:noHBand="0" w:noVBand="1"/>
      </w:tblPr>
      <w:tblGrid>
        <w:gridCol w:w="8460"/>
      </w:tblGrid>
      <w:tr w:rsidR="0020546D" w:rsidRPr="000E1DE0" w14:paraId="48A73F17" w14:textId="77777777" w:rsidTr="008D1E9F">
        <w:trPr>
          <w:trHeight w:val="782"/>
        </w:trPr>
        <w:tc>
          <w:tcPr>
            <w:tcW w:w="5000" w:type="pct"/>
          </w:tcPr>
          <w:p w14:paraId="6BC0CDB7" w14:textId="77777777" w:rsidR="005F4D79" w:rsidRPr="008164EA" w:rsidRDefault="005F4D79" w:rsidP="00947225">
            <w:pPr>
              <w:ind w:left="-15"/>
              <w:jc w:val="both"/>
              <w:rPr>
                <w:i/>
                <w:iCs/>
                <w:sz w:val="20"/>
                <w:szCs w:val="20"/>
                <w:u w:val="none"/>
              </w:rPr>
            </w:pPr>
            <w:r w:rsidRPr="008164EA">
              <w:rPr>
                <w:i/>
                <w:iCs/>
                <w:sz w:val="20"/>
                <w:szCs w:val="20"/>
                <w:u w:val="none"/>
              </w:rPr>
              <w:t>[List all programs from which income determinations will be accepted.]</w:t>
            </w:r>
          </w:p>
          <w:p w14:paraId="5EA0CB15" w14:textId="77777777" w:rsidR="005F4D79" w:rsidRPr="008164EA" w:rsidRDefault="005F4D79" w:rsidP="00947225">
            <w:pPr>
              <w:ind w:left="-15"/>
              <w:jc w:val="both"/>
              <w:rPr>
                <w:i/>
                <w:iCs/>
                <w:sz w:val="20"/>
                <w:szCs w:val="20"/>
                <w:u w:val="none"/>
              </w:rPr>
            </w:pPr>
          </w:p>
          <w:p w14:paraId="599BCA28" w14:textId="77777777" w:rsidR="0020546D" w:rsidRPr="000E1DE0" w:rsidRDefault="0020546D" w:rsidP="00947225">
            <w:pPr>
              <w:ind w:left="-15"/>
              <w:jc w:val="both"/>
              <w:rPr>
                <w:i/>
                <w:iCs/>
                <w:u w:val="none"/>
              </w:rPr>
            </w:pPr>
            <w:r w:rsidRPr="000E1DE0">
              <w:rPr>
                <w:i/>
                <w:iCs/>
                <w:u w:val="none"/>
              </w:rPr>
              <w:fldChar w:fldCharType="begin">
                <w:ffData>
                  <w:name w:val="box8"/>
                  <w:enabled/>
                  <w:calcOnExit/>
                  <w:textInput>
                    <w:maxLength w:val="15000"/>
                  </w:textInput>
                </w:ffData>
              </w:fldChar>
            </w:r>
            <w:bookmarkStart w:id="35" w:name="box8"/>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35"/>
          </w:p>
        </w:tc>
      </w:tr>
    </w:tbl>
    <w:p w14:paraId="532C3809" w14:textId="77777777" w:rsidR="000E4A36" w:rsidRPr="000E1DE0" w:rsidRDefault="000E4A36" w:rsidP="008E397B">
      <w:pPr>
        <w:ind w:left="1440" w:right="180"/>
        <w:jc w:val="both"/>
        <w:rPr>
          <w:u w:val="none"/>
        </w:rPr>
      </w:pPr>
    </w:p>
    <w:p w14:paraId="626E9393" w14:textId="77777777" w:rsidR="00EE11B7" w:rsidRPr="000E1DE0" w:rsidRDefault="00705924" w:rsidP="00FE0C37">
      <w:pPr>
        <w:pStyle w:val="ListParagraph"/>
        <w:numPr>
          <w:ilvl w:val="0"/>
          <w:numId w:val="2"/>
        </w:numPr>
        <w:ind w:left="1440" w:right="180"/>
        <w:jc w:val="both"/>
        <w:rPr>
          <w:u w:val="none"/>
        </w:rPr>
      </w:pPr>
      <w:r w:rsidRPr="000E1DE0">
        <w:rPr>
          <w:u w:val="none"/>
        </w:rPr>
        <w:t xml:space="preserve">Specify the </w:t>
      </w:r>
      <w:r w:rsidR="00721F67" w:rsidRPr="000E1DE0">
        <w:rPr>
          <w:u w:val="none"/>
        </w:rPr>
        <w:t>Agent’s policy when families present multiple verifications from the same or different acceptable Safe Harbor programs</w:t>
      </w:r>
      <w:r w:rsidRPr="000E1DE0">
        <w:rPr>
          <w:u w:val="none"/>
        </w:rPr>
        <w:t>.</w:t>
      </w:r>
    </w:p>
    <w:p w14:paraId="4720543B" w14:textId="77777777" w:rsidR="00F53DFA" w:rsidRPr="000E1DE0" w:rsidRDefault="00F53DFA" w:rsidP="008E397B">
      <w:pPr>
        <w:ind w:left="720" w:right="180"/>
        <w:jc w:val="both"/>
        <w:rPr>
          <w:u w:val="none"/>
        </w:rPr>
      </w:pPr>
    </w:p>
    <w:tbl>
      <w:tblPr>
        <w:tblStyle w:val="TableGrid"/>
        <w:tblW w:w="4524" w:type="pct"/>
        <w:tblInd w:w="715" w:type="dxa"/>
        <w:tblCellMar>
          <w:top w:w="115" w:type="dxa"/>
          <w:bottom w:w="115" w:type="dxa"/>
        </w:tblCellMar>
        <w:tblLook w:val="04A0" w:firstRow="1" w:lastRow="0" w:firstColumn="1" w:lastColumn="0" w:noHBand="0" w:noVBand="1"/>
      </w:tblPr>
      <w:tblGrid>
        <w:gridCol w:w="8460"/>
      </w:tblGrid>
      <w:tr w:rsidR="0020546D" w:rsidRPr="000E1DE0" w14:paraId="4A06D65B" w14:textId="77777777" w:rsidTr="008D1E9F">
        <w:trPr>
          <w:trHeight w:val="800"/>
        </w:trPr>
        <w:tc>
          <w:tcPr>
            <w:tcW w:w="5000" w:type="pct"/>
          </w:tcPr>
          <w:p w14:paraId="3E4C2F81" w14:textId="77777777" w:rsidR="00EF65A7" w:rsidRPr="008164EA" w:rsidRDefault="00EF65A7" w:rsidP="00947225">
            <w:pPr>
              <w:rPr>
                <w:rFonts w:eastAsia="Times New Roman"/>
                <w:i/>
                <w:iCs/>
                <w:color w:val="auto"/>
                <w:sz w:val="20"/>
                <w:szCs w:val="20"/>
                <w:u w:val="none"/>
                <w14:ligatures w14:val="none"/>
              </w:rPr>
            </w:pPr>
            <w:bookmarkStart w:id="36" w:name="_Hlk163089592"/>
            <w:r w:rsidRPr="008164EA">
              <w:rPr>
                <w:rFonts w:eastAsia="Times New Roman"/>
                <w:i/>
                <w:iCs/>
                <w:color w:val="auto"/>
                <w:sz w:val="20"/>
                <w:szCs w:val="20"/>
                <w:u w:val="none"/>
                <w14:ligatures w14:val="none"/>
              </w:rPr>
              <w:t>[Insert policy specified above.]</w:t>
            </w:r>
          </w:p>
          <w:p w14:paraId="0BC73A10" w14:textId="77777777" w:rsidR="00EF65A7" w:rsidRPr="008164EA" w:rsidRDefault="00EF65A7" w:rsidP="00947225">
            <w:pPr>
              <w:rPr>
                <w:rFonts w:eastAsia="Times New Roman"/>
                <w:i/>
                <w:iCs/>
                <w:color w:val="auto"/>
                <w:sz w:val="20"/>
                <w:szCs w:val="20"/>
                <w:u w:val="none"/>
                <w14:ligatures w14:val="none"/>
              </w:rPr>
            </w:pPr>
          </w:p>
          <w:p w14:paraId="750B3540" w14:textId="77777777" w:rsidR="0020546D" w:rsidRPr="000E1DE0" w:rsidRDefault="0020546D" w:rsidP="00947225">
            <w:pPr>
              <w:ind w:left="-15"/>
              <w:jc w:val="both"/>
              <w:rPr>
                <w:i/>
                <w:iCs/>
                <w:u w:val="none"/>
              </w:rPr>
            </w:pPr>
            <w:r w:rsidRPr="000E1DE0">
              <w:rPr>
                <w:i/>
                <w:iCs/>
                <w:u w:val="none"/>
              </w:rPr>
              <w:fldChar w:fldCharType="begin">
                <w:ffData>
                  <w:name w:val="box9"/>
                  <w:enabled/>
                  <w:calcOnExit/>
                  <w:textInput>
                    <w:maxLength w:val="15000"/>
                  </w:textInput>
                </w:ffData>
              </w:fldChar>
            </w:r>
            <w:bookmarkStart w:id="37" w:name="box9"/>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37"/>
          </w:p>
        </w:tc>
      </w:tr>
      <w:bookmarkEnd w:id="36"/>
    </w:tbl>
    <w:p w14:paraId="035A2F83" w14:textId="77777777" w:rsidR="00015976" w:rsidRPr="000E1DE0" w:rsidRDefault="00015976" w:rsidP="008E397B">
      <w:pPr>
        <w:pStyle w:val="ListParagraph"/>
        <w:ind w:right="180"/>
        <w:jc w:val="both"/>
        <w:rPr>
          <w:u w:val="none"/>
        </w:rPr>
      </w:pPr>
    </w:p>
    <w:p w14:paraId="35DD6EE3" w14:textId="77777777" w:rsidR="000F241A" w:rsidRPr="000E1DE0" w:rsidRDefault="000F241A" w:rsidP="00FE0C37">
      <w:pPr>
        <w:pStyle w:val="ListParagraph"/>
        <w:numPr>
          <w:ilvl w:val="0"/>
          <w:numId w:val="7"/>
        </w:numPr>
        <w:ind w:left="720" w:right="180" w:hanging="450"/>
        <w:jc w:val="both"/>
        <w:rPr>
          <w:b/>
          <w:bCs/>
        </w:rPr>
      </w:pPr>
      <w:r w:rsidRPr="000E1DE0">
        <w:rPr>
          <w:b/>
          <w:bCs/>
        </w:rPr>
        <w:t>Enterprise Income Verification (EIV) Usage</w:t>
      </w:r>
    </w:p>
    <w:p w14:paraId="0AF3BA15" w14:textId="77777777" w:rsidR="00431043" w:rsidRPr="000E1DE0" w:rsidRDefault="00431043" w:rsidP="008E397B">
      <w:pPr>
        <w:ind w:left="720" w:right="180"/>
        <w:jc w:val="both"/>
        <w:rPr>
          <w:u w:val="none"/>
        </w:rPr>
      </w:pPr>
    </w:p>
    <w:p w14:paraId="43367346" w14:textId="77777777" w:rsidR="00320DBC" w:rsidRPr="000E1DE0" w:rsidRDefault="00320DBC" w:rsidP="008E397B">
      <w:pPr>
        <w:ind w:left="720" w:right="180"/>
        <w:jc w:val="both"/>
        <w:rPr>
          <w:u w:val="none"/>
        </w:rPr>
      </w:pPr>
      <w:r w:rsidRPr="000E1DE0">
        <w:rPr>
          <w:u w:val="none"/>
        </w:rPr>
        <w:t>Regulations: 24 CFR § 5.233</w:t>
      </w:r>
    </w:p>
    <w:p w14:paraId="1AF10E63" w14:textId="77777777" w:rsidR="0019196C" w:rsidRPr="000E1DE0" w:rsidRDefault="0019196C" w:rsidP="008E397B">
      <w:pPr>
        <w:ind w:left="720" w:right="180"/>
        <w:jc w:val="both"/>
        <w:rPr>
          <w:u w:val="none"/>
        </w:rPr>
      </w:pPr>
    </w:p>
    <w:p w14:paraId="2CC1AA28" w14:textId="77777777" w:rsidR="00351772" w:rsidRPr="000E1DE0" w:rsidRDefault="00351772" w:rsidP="008E397B">
      <w:pPr>
        <w:ind w:left="720" w:right="180"/>
        <w:jc w:val="both"/>
        <w:rPr>
          <w:b/>
          <w:bCs/>
          <w:u w:val="none"/>
        </w:rPr>
      </w:pPr>
      <w:r w:rsidRPr="000E1DE0">
        <w:rPr>
          <w:b/>
          <w:bCs/>
          <w:u w:val="none"/>
        </w:rPr>
        <w:t xml:space="preserve">Required HOTMA </w:t>
      </w:r>
      <w:r w:rsidR="00F4437C" w:rsidRPr="000E1DE0">
        <w:rPr>
          <w:b/>
          <w:bCs/>
          <w:u w:val="none"/>
        </w:rPr>
        <w:t>Rule</w:t>
      </w:r>
    </w:p>
    <w:p w14:paraId="1CA9913B" w14:textId="77777777" w:rsidR="0042691F" w:rsidRPr="000E1DE0" w:rsidRDefault="0042691F" w:rsidP="008E397B">
      <w:pPr>
        <w:ind w:left="720" w:right="180"/>
        <w:jc w:val="both"/>
        <w:rPr>
          <w:u w:val="none"/>
        </w:rPr>
      </w:pPr>
    </w:p>
    <w:p w14:paraId="30354FF6" w14:textId="77777777" w:rsidR="00253E8E" w:rsidRDefault="00090F95" w:rsidP="008E397B">
      <w:pPr>
        <w:ind w:left="720" w:right="180"/>
        <w:jc w:val="both"/>
        <w:rPr>
          <w:u w:val="none"/>
        </w:rPr>
      </w:pPr>
      <w:r w:rsidRPr="000E1DE0">
        <w:rPr>
          <w:u w:val="none"/>
        </w:rPr>
        <w:t xml:space="preserve">The </w:t>
      </w:r>
      <w:r w:rsidR="00C45251" w:rsidRPr="000E1DE0">
        <w:rPr>
          <w:u w:val="none"/>
        </w:rPr>
        <w:t>Agent</w:t>
      </w:r>
      <w:r w:rsidR="0019196C" w:rsidRPr="000E1DE0">
        <w:rPr>
          <w:u w:val="none"/>
        </w:rPr>
        <w:t xml:space="preserve"> must update their EIV policies and procedures to reflect their discretionary use of EIV reports (e.g., Income Report, zero income reports, New Hires Report, etc.) under HOTMA.</w:t>
      </w:r>
    </w:p>
    <w:p w14:paraId="08496DCE" w14:textId="77777777" w:rsidR="00947225" w:rsidRDefault="00947225" w:rsidP="008E397B">
      <w:pPr>
        <w:ind w:left="720" w:right="180"/>
        <w:jc w:val="both"/>
        <w:rPr>
          <w:u w:val="none"/>
        </w:rPr>
      </w:pPr>
    </w:p>
    <w:tbl>
      <w:tblPr>
        <w:tblStyle w:val="TableGrid"/>
        <w:tblW w:w="0" w:type="auto"/>
        <w:tblInd w:w="715" w:type="dxa"/>
        <w:tblCellMar>
          <w:top w:w="115" w:type="dxa"/>
          <w:bottom w:w="115" w:type="dxa"/>
        </w:tblCellMar>
        <w:tblLook w:val="04A0" w:firstRow="1" w:lastRow="0" w:firstColumn="1" w:lastColumn="0" w:noHBand="0" w:noVBand="1"/>
      </w:tblPr>
      <w:tblGrid>
        <w:gridCol w:w="8460"/>
      </w:tblGrid>
      <w:tr w:rsidR="0020546D" w:rsidRPr="000E1DE0" w14:paraId="0547B8AF" w14:textId="77777777" w:rsidTr="00F21222">
        <w:trPr>
          <w:trHeight w:val="1268"/>
        </w:trPr>
        <w:tc>
          <w:tcPr>
            <w:tcW w:w="8460" w:type="dxa"/>
          </w:tcPr>
          <w:p w14:paraId="04063EB9" w14:textId="77777777" w:rsidR="00EF65A7" w:rsidRPr="008164EA" w:rsidRDefault="00EF65A7" w:rsidP="009471B8">
            <w:pPr>
              <w:rPr>
                <w:i/>
                <w:iCs/>
                <w:sz w:val="20"/>
                <w:szCs w:val="20"/>
                <w:u w:val="none"/>
              </w:rPr>
            </w:pPr>
            <w:r w:rsidRPr="008164EA">
              <w:rPr>
                <w:i/>
                <w:iCs/>
                <w:sz w:val="20"/>
                <w:szCs w:val="20"/>
                <w:u w:val="none"/>
              </w:rPr>
              <w:t>[Insert date that EIV policies were updated to reflect the discretionary use of EIV reports under HOTMA and whether the Agent will use EIV Reports during interim reexaminations. See Current EIV Policies and Procedures.]</w:t>
            </w:r>
          </w:p>
          <w:p w14:paraId="7EA0EC3C" w14:textId="77777777" w:rsidR="00EF65A7" w:rsidRPr="008164EA" w:rsidRDefault="00EF65A7" w:rsidP="009471B8">
            <w:pPr>
              <w:jc w:val="both"/>
              <w:rPr>
                <w:i/>
                <w:iCs/>
                <w:sz w:val="20"/>
                <w:szCs w:val="20"/>
                <w:u w:val="none"/>
                <w:vertAlign w:val="superscript"/>
              </w:rPr>
            </w:pPr>
          </w:p>
          <w:p w14:paraId="7E93C05D" w14:textId="77777777" w:rsidR="0097487C" w:rsidRPr="000E1DE0" w:rsidRDefault="0020546D" w:rsidP="009471B8">
            <w:pPr>
              <w:jc w:val="both"/>
              <w:rPr>
                <w:i/>
                <w:iCs/>
                <w:u w:val="none"/>
              </w:rPr>
            </w:pPr>
            <w:r w:rsidRPr="000E1DE0">
              <w:rPr>
                <w:i/>
                <w:iCs/>
                <w:u w:val="none"/>
              </w:rPr>
              <w:fldChar w:fldCharType="begin">
                <w:ffData>
                  <w:name w:val="box10"/>
                  <w:enabled/>
                  <w:calcOnExit/>
                  <w:textInput>
                    <w:maxLength w:val="15000"/>
                  </w:textInput>
                </w:ffData>
              </w:fldChar>
            </w:r>
            <w:bookmarkStart w:id="38" w:name="box10"/>
            <w:r w:rsidRPr="000E1DE0">
              <w:rPr>
                <w:i/>
                <w:iCs/>
                <w:u w:val="none"/>
              </w:rPr>
              <w:instrText xml:space="preserve"> FORMTEXT </w:instrText>
            </w:r>
            <w:r w:rsidRPr="000E1DE0">
              <w:rPr>
                <w:i/>
                <w:iCs/>
                <w:u w:val="none"/>
              </w:rPr>
            </w:r>
            <w:r w:rsidRPr="000E1DE0">
              <w:rPr>
                <w:i/>
                <w:iCs/>
                <w:u w:val="none"/>
              </w:rPr>
              <w:fldChar w:fldCharType="separate"/>
            </w:r>
            <w:r w:rsidR="009471B8">
              <w:rPr>
                <w:i/>
                <w:iCs/>
                <w:noProof/>
                <w:u w:val="none"/>
              </w:rPr>
              <w:t> </w:t>
            </w:r>
            <w:r w:rsidR="009471B8">
              <w:rPr>
                <w:i/>
                <w:iCs/>
                <w:noProof/>
                <w:u w:val="none"/>
              </w:rPr>
              <w:t> </w:t>
            </w:r>
            <w:r w:rsidR="009471B8">
              <w:rPr>
                <w:i/>
                <w:iCs/>
                <w:noProof/>
                <w:u w:val="none"/>
              </w:rPr>
              <w:t> </w:t>
            </w:r>
            <w:r w:rsidR="009471B8">
              <w:rPr>
                <w:i/>
                <w:iCs/>
                <w:noProof/>
                <w:u w:val="none"/>
              </w:rPr>
              <w:t> </w:t>
            </w:r>
            <w:r w:rsidR="009471B8">
              <w:rPr>
                <w:i/>
                <w:iCs/>
                <w:noProof/>
                <w:u w:val="none"/>
              </w:rPr>
              <w:t> </w:t>
            </w:r>
            <w:r w:rsidRPr="000E1DE0">
              <w:rPr>
                <w:i/>
                <w:iCs/>
                <w:u w:val="none"/>
              </w:rPr>
              <w:fldChar w:fldCharType="end"/>
            </w:r>
            <w:bookmarkEnd w:id="38"/>
          </w:p>
        </w:tc>
      </w:tr>
    </w:tbl>
    <w:p w14:paraId="2B84BFA8" w14:textId="77777777" w:rsidR="0020546D" w:rsidRPr="000E1DE0" w:rsidRDefault="0020546D" w:rsidP="00947225">
      <w:pPr>
        <w:ind w:left="720" w:right="180"/>
        <w:jc w:val="both"/>
        <w:rPr>
          <w:u w:val="none"/>
        </w:rPr>
      </w:pPr>
    </w:p>
    <w:p w14:paraId="1EB95EB5" w14:textId="77777777" w:rsidR="00351772" w:rsidRPr="000E1DE0" w:rsidRDefault="00351772" w:rsidP="008E397B">
      <w:pPr>
        <w:ind w:left="720" w:right="180"/>
        <w:jc w:val="both"/>
        <w:rPr>
          <w:b/>
          <w:bCs/>
          <w:u w:val="none"/>
        </w:rPr>
      </w:pPr>
      <w:r w:rsidRPr="000E1DE0">
        <w:rPr>
          <w:b/>
          <w:bCs/>
          <w:u w:val="none"/>
        </w:rPr>
        <w:t>Agent’s Discretionary Policy</w:t>
      </w:r>
      <w:r w:rsidR="00C351C2" w:rsidRPr="000E1DE0">
        <w:rPr>
          <w:b/>
          <w:bCs/>
          <w:u w:val="none"/>
        </w:rPr>
        <w:t xml:space="preserve"> – EIV during </w:t>
      </w:r>
      <w:r w:rsidR="00A51AE5" w:rsidRPr="000E1DE0">
        <w:rPr>
          <w:b/>
          <w:bCs/>
          <w:u w:val="none"/>
        </w:rPr>
        <w:t>reexamination</w:t>
      </w:r>
    </w:p>
    <w:p w14:paraId="487314F4" w14:textId="77777777" w:rsidR="00351772" w:rsidRPr="000E1DE0" w:rsidRDefault="00351772" w:rsidP="008E397B">
      <w:pPr>
        <w:ind w:left="720" w:right="180"/>
        <w:jc w:val="both"/>
        <w:rPr>
          <w:u w:val="none"/>
        </w:rPr>
      </w:pPr>
    </w:p>
    <w:p w14:paraId="01F7AE42" w14:textId="77777777" w:rsidR="00253E8E" w:rsidRPr="000E1DE0" w:rsidRDefault="002B7938" w:rsidP="008E397B">
      <w:pPr>
        <w:ind w:left="720" w:right="180"/>
        <w:jc w:val="both"/>
        <w:rPr>
          <w:u w:val="none"/>
        </w:rPr>
      </w:pPr>
      <w:r w:rsidRPr="000E1DE0">
        <w:rPr>
          <w:u w:val="none"/>
        </w:rPr>
        <w:t xml:space="preserve">Will the </w:t>
      </w:r>
      <w:r w:rsidR="00C45251" w:rsidRPr="000E1DE0">
        <w:rPr>
          <w:u w:val="none"/>
        </w:rPr>
        <w:t>Agent</w:t>
      </w:r>
      <w:r w:rsidR="00253E8E" w:rsidRPr="000E1DE0">
        <w:rPr>
          <w:u w:val="none"/>
        </w:rPr>
        <w:t xml:space="preserve"> use EIV during interim reexaminations</w:t>
      </w:r>
      <w:r w:rsidRPr="000E1DE0">
        <w:rPr>
          <w:u w:val="none"/>
        </w:rPr>
        <w:t>?</w:t>
      </w:r>
      <w:r w:rsidR="006A5744" w:rsidRPr="000E1DE0">
        <w:rPr>
          <w:u w:val="none"/>
        </w:rPr>
        <w:t xml:space="preserve"> (c</w:t>
      </w:r>
      <w:r w:rsidR="006A5744" w:rsidRPr="000E1DE0">
        <w:rPr>
          <w:i/>
          <w:iCs/>
          <w:u w:val="none"/>
        </w:rPr>
        <w:t>heck as applicable)</w:t>
      </w:r>
    </w:p>
    <w:p w14:paraId="15E4D6BF" w14:textId="77777777" w:rsidR="002B7938" w:rsidRPr="000E1DE0" w:rsidRDefault="002B7938" w:rsidP="008E397B">
      <w:pPr>
        <w:ind w:left="1440" w:right="180"/>
        <w:jc w:val="both"/>
        <w:rPr>
          <w:u w:val="none"/>
        </w:rPr>
      </w:pPr>
    </w:p>
    <w:p w14:paraId="070F1CC8" w14:textId="77777777" w:rsidR="00EB5660" w:rsidRPr="000E1DE0" w:rsidRDefault="00962582" w:rsidP="008E397B">
      <w:pPr>
        <w:ind w:left="1440" w:right="180" w:hanging="450"/>
        <w:jc w:val="both"/>
        <w:rPr>
          <w:u w:val="none"/>
        </w:rPr>
      </w:pPr>
      <w:sdt>
        <w:sdtPr>
          <w:rPr>
            <w:u w:val="none"/>
          </w:rPr>
          <w:id w:val="1117485311"/>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EB5660" w:rsidRPr="000E1DE0">
        <w:rPr>
          <w:u w:val="none"/>
        </w:rPr>
        <w:t>Yes</w:t>
      </w:r>
    </w:p>
    <w:p w14:paraId="69CFE265" w14:textId="77777777" w:rsidR="00EB5660" w:rsidRPr="000E1DE0" w:rsidRDefault="00962582" w:rsidP="008E397B">
      <w:pPr>
        <w:ind w:left="1440" w:right="180" w:hanging="450"/>
        <w:jc w:val="both"/>
        <w:rPr>
          <w:u w:val="none"/>
        </w:rPr>
      </w:pPr>
      <w:sdt>
        <w:sdtPr>
          <w:rPr>
            <w:u w:val="none"/>
          </w:rPr>
          <w:id w:val="1560593941"/>
          <w15:appearance w15:val="hidden"/>
          <w14:checkbox>
            <w14:checked w14:val="0"/>
            <w14:checkedState w14:val="00FC" w14:font="Wingdings"/>
            <w14:uncheckedState w14:val="2610" w14:font="MS Gothic"/>
          </w14:checkbox>
        </w:sdtPr>
        <w:sdtEndPr/>
        <w:sdtContent>
          <w:r w:rsidR="00381437">
            <w:rPr>
              <w:rFonts w:ascii="MS Gothic" w:eastAsia="MS Gothic" w:hAnsi="MS Gothic" w:hint="eastAsia"/>
              <w:u w:val="none"/>
            </w:rPr>
            <w:t>☐</w:t>
          </w:r>
        </w:sdtContent>
      </w:sdt>
      <w:r w:rsidR="0099739F" w:rsidRPr="000E1DE0">
        <w:rPr>
          <w:u w:val="none"/>
        </w:rPr>
        <w:tab/>
      </w:r>
      <w:r w:rsidR="00EB5660" w:rsidRPr="000E1DE0">
        <w:rPr>
          <w:u w:val="none"/>
        </w:rPr>
        <w:t>No</w:t>
      </w:r>
      <w:r w:rsidR="007D2038" w:rsidRPr="000E1DE0">
        <w:rPr>
          <w:u w:val="none"/>
        </w:rPr>
        <w:tab/>
      </w:r>
    </w:p>
    <w:sectPr w:rsidR="00EB5660" w:rsidRPr="000E1DE0" w:rsidSect="00ED755E">
      <w:footerReference w:type="default" r:id="rId32"/>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C7E9" w14:textId="77777777" w:rsidR="00ED755E" w:rsidRDefault="00ED755E" w:rsidP="00293166">
      <w:r>
        <w:separator/>
      </w:r>
    </w:p>
  </w:endnote>
  <w:endnote w:type="continuationSeparator" w:id="0">
    <w:p w14:paraId="19155706" w14:textId="77777777" w:rsidR="00ED755E" w:rsidRDefault="00ED755E" w:rsidP="0029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w:altName w:val="Cambri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A014" w14:textId="77777777" w:rsidR="00DD7EA9" w:rsidRDefault="00C60340">
    <w:pPr>
      <w:pStyle w:val="Footer"/>
      <w:jc w:val="center"/>
    </w:pPr>
    <w:r>
      <w:rPr>
        <w:noProof/>
      </w:rPr>
      <w:drawing>
        <wp:anchor distT="0" distB="0" distL="114300" distR="114300" simplePos="0" relativeHeight="251663360" behindDoc="0" locked="0" layoutInCell="1" allowOverlap="1" wp14:anchorId="362A2552" wp14:editId="09E6838C">
          <wp:simplePos x="0" y="0"/>
          <wp:positionH relativeFrom="column">
            <wp:posOffset>5423535</wp:posOffset>
          </wp:positionH>
          <wp:positionV relativeFrom="paragraph">
            <wp:posOffset>-236220</wp:posOffset>
          </wp:positionV>
          <wp:extent cx="607030" cy="509905"/>
          <wp:effectExtent l="0" t="0" r="3175" b="4445"/>
          <wp:wrapNone/>
          <wp:docPr id="1061613894"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49894"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7030" cy="509905"/>
                  </a:xfrm>
                  <a:prstGeom prst="rect">
                    <a:avLst/>
                  </a:prstGeom>
                </pic:spPr>
              </pic:pic>
            </a:graphicData>
          </a:graphic>
          <wp14:sizeRelH relativeFrom="page">
            <wp14:pctWidth>0</wp14:pctWidth>
          </wp14:sizeRelH>
          <wp14:sizeRelV relativeFrom="page">
            <wp14:pctHeight>0</wp14:pctHeight>
          </wp14:sizeRelV>
        </wp:anchor>
      </w:drawing>
    </w:r>
    <w:r w:rsidR="00962582">
      <w:rPr>
        <w:noProof/>
      </w:rPr>
      <w:pict w14:anchorId="6B515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13.65pt;width:27.95pt;height:27.75pt;z-index:251662336;mso-position-horizontal-relative:text;mso-position-vertical-relative:text" o:allowincell="f">
          <v:imagedata r:id="rId2"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277587"/>
      <w:docPartObj>
        <w:docPartGallery w:val="Page Numbers (Bottom of Page)"/>
        <w:docPartUnique/>
      </w:docPartObj>
    </w:sdtPr>
    <w:sdtEndPr>
      <w:rPr>
        <w:noProof/>
        <w:u w:val="none"/>
      </w:rPr>
    </w:sdtEndPr>
    <w:sdtContent>
      <w:p w14:paraId="3445B710" w14:textId="77777777" w:rsidR="009A1921" w:rsidRPr="00AA78CF" w:rsidRDefault="00017728">
        <w:pPr>
          <w:pStyle w:val="Footer"/>
          <w:jc w:val="center"/>
          <w:rPr>
            <w:u w:val="none"/>
          </w:rPr>
        </w:pPr>
        <w:r>
          <w:rPr>
            <w:noProof/>
          </w:rPr>
          <w:drawing>
            <wp:anchor distT="0" distB="0" distL="114300" distR="114300" simplePos="0" relativeHeight="251661312" behindDoc="0" locked="0" layoutInCell="1" allowOverlap="1" wp14:anchorId="2A02CD37" wp14:editId="48877C97">
              <wp:simplePos x="0" y="0"/>
              <wp:positionH relativeFrom="column">
                <wp:posOffset>5547995</wp:posOffset>
              </wp:positionH>
              <wp:positionV relativeFrom="paragraph">
                <wp:posOffset>30480</wp:posOffset>
              </wp:positionV>
              <wp:extent cx="624749" cy="524790"/>
              <wp:effectExtent l="0" t="0" r="4445" b="8890"/>
              <wp:wrapNone/>
              <wp:docPr id="122619083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7499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4749" cy="524790"/>
                      </a:xfrm>
                      <a:prstGeom prst="rect">
                        <a:avLst/>
                      </a:prstGeom>
                    </pic:spPr>
                  </pic:pic>
                </a:graphicData>
              </a:graphic>
              <wp14:sizeRelH relativeFrom="page">
                <wp14:pctWidth>0</wp14:pctWidth>
              </wp14:sizeRelH>
              <wp14:sizeRelV relativeFrom="page">
                <wp14:pctHeight>0</wp14:pctHeight>
              </wp14:sizeRelV>
            </wp:anchor>
          </w:drawing>
        </w:r>
        <w:r w:rsidR="009A1921" w:rsidRPr="00AA78CF">
          <w:rPr>
            <w:u w:val="none"/>
          </w:rPr>
          <w:fldChar w:fldCharType="begin"/>
        </w:r>
        <w:r w:rsidR="009A1921" w:rsidRPr="00AA78CF">
          <w:rPr>
            <w:u w:val="none"/>
          </w:rPr>
          <w:instrText xml:space="preserve"> PAGE   \* MERGEFORMAT </w:instrText>
        </w:r>
        <w:r w:rsidR="009A1921" w:rsidRPr="00AA78CF">
          <w:rPr>
            <w:u w:val="none"/>
          </w:rPr>
          <w:fldChar w:fldCharType="separate"/>
        </w:r>
        <w:r w:rsidR="009A1921" w:rsidRPr="00AA78CF">
          <w:rPr>
            <w:noProof/>
            <w:u w:val="none"/>
          </w:rPr>
          <w:t>2</w:t>
        </w:r>
        <w:r w:rsidR="009A1921" w:rsidRPr="00AA78CF">
          <w:rPr>
            <w:noProof/>
            <w:u w:val="none"/>
          </w:rPr>
          <w:fldChar w:fldCharType="end"/>
        </w:r>
      </w:p>
    </w:sdtContent>
  </w:sdt>
  <w:p w14:paraId="718CC2E4" w14:textId="77777777" w:rsidR="009A1921" w:rsidRDefault="00962582">
    <w:pPr>
      <w:pStyle w:val="Footer"/>
    </w:pPr>
    <w:r>
      <w:rPr>
        <w:noProof/>
      </w:rPr>
      <w:object w:dxaOrig="1440" w:dyaOrig="1440" w14:anchorId="10C37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6pt;margin-top:-6.15pt;width:29.7pt;height:29.55pt;z-index:251660288" o:allowincell="f">
          <v:imagedata r:id="rId2" o:title=""/>
        </v:shape>
        <o:OLEObject Type="Embed" ProgID="MS_ClipArt_Gallery" ShapeID="_x0000_s1030" DrawAspect="Content" ObjectID="_1773833601" r:id="rId3"/>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4F8" w14:textId="77777777" w:rsidR="0076234E" w:rsidRPr="003A0641" w:rsidRDefault="009F63A5" w:rsidP="00DE475D">
    <w:pPr>
      <w:pStyle w:val="Footer"/>
      <w:tabs>
        <w:tab w:val="clear" w:pos="4680"/>
        <w:tab w:val="clear" w:pos="9360"/>
      </w:tabs>
      <w:jc w:val="center"/>
      <w:rPr>
        <w:caps/>
        <w:noProof/>
        <w:u w:val="none"/>
      </w:rPr>
    </w:pPr>
    <w:r w:rsidRPr="003A0641">
      <w:rPr>
        <w:noProof/>
        <w:u w:val="none"/>
      </w:rPr>
      <mc:AlternateContent>
        <mc:Choice Requires="wps">
          <w:drawing>
            <wp:anchor distT="0" distB="0" distL="0" distR="0" simplePos="0" relativeHeight="251659264" behindDoc="1" locked="0" layoutInCell="1" allowOverlap="1" wp14:anchorId="369A9D47" wp14:editId="649088F4">
              <wp:simplePos x="0" y="0"/>
              <wp:positionH relativeFrom="page">
                <wp:posOffset>685800</wp:posOffset>
              </wp:positionH>
              <wp:positionV relativeFrom="page">
                <wp:posOffset>9425940</wp:posOffset>
              </wp:positionV>
              <wp:extent cx="1744980" cy="2667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4980" cy="266700"/>
                      </a:xfrm>
                      <a:prstGeom prst="rect">
                        <a:avLst/>
                      </a:prstGeom>
                    </wps:spPr>
                    <wps:txbx>
                      <w:txbxContent>
                        <w:p w14:paraId="2BF2230D" w14:textId="77777777" w:rsidR="00C9484C" w:rsidRPr="003A0641" w:rsidRDefault="009F63A5" w:rsidP="00C9484C">
                          <w:pPr>
                            <w:spacing w:before="13" w:line="249" w:lineRule="auto"/>
                            <w:ind w:left="20"/>
                            <w:rPr>
                              <w:sz w:val="16"/>
                              <w:szCs w:val="16"/>
                              <w:u w:val="none"/>
                            </w:rPr>
                          </w:pPr>
                          <w:r w:rsidRPr="003A0641">
                            <w:rPr>
                              <w:bCs/>
                              <w:sz w:val="16"/>
                              <w:szCs w:val="16"/>
                              <w:u w:val="none"/>
                            </w:rPr>
                            <w:t xml:space="preserve">Modification to Tenant Selection Plan </w:t>
                          </w:r>
                          <w:r w:rsidR="00C9484C" w:rsidRPr="003A0641">
                            <w:rPr>
                              <w:sz w:val="16"/>
                              <w:szCs w:val="16"/>
                              <w:u w:val="none"/>
                            </w:rPr>
                            <w:t xml:space="preserve">Revised: </w:t>
                          </w:r>
                          <w:r w:rsidR="00F946C4">
                            <w:rPr>
                              <w:sz w:val="16"/>
                              <w:szCs w:val="16"/>
                              <w:u w:val="none"/>
                            </w:rPr>
                            <w:t>April</w:t>
                          </w:r>
                          <w:r w:rsidRPr="003A0641">
                            <w:rPr>
                              <w:sz w:val="16"/>
                              <w:szCs w:val="16"/>
                              <w:u w:val="none"/>
                            </w:rPr>
                            <w:t xml:space="preserve">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69A9D47" id="_x0000_t202" coordsize="21600,21600" o:spt="202" path="m,l,21600r21600,l21600,xe">
              <v:stroke joinstyle="miter"/>
              <v:path gradientshapeok="t" o:connecttype="rect"/>
            </v:shapetype>
            <v:shape id="Textbox 103" o:spid="_x0000_s1026" type="#_x0000_t202" style="position:absolute;left:0;text-align:left;margin-left:54pt;margin-top:742.2pt;width:137.4pt;height: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" filled="f" stroked="f">
              <v:textbox inset="0,0,0,0">
                <w:txbxContent>
                  <w:p w14:paraId="2BF2230D" w14:textId="77777777" w:rsidR="00C9484C" w:rsidRPr="003A0641" w:rsidRDefault="009F63A5" w:rsidP="00C9484C">
                    <w:pPr>
                      <w:spacing w:before="13" w:line="249" w:lineRule="auto"/>
                      <w:ind w:left="20"/>
                      <w:rPr>
                        <w:sz w:val="16"/>
                        <w:szCs w:val="16"/>
                        <w:u w:val="none"/>
                      </w:rPr>
                    </w:pPr>
                    <w:r w:rsidRPr="003A0641">
                      <w:rPr>
                        <w:bCs/>
                        <w:sz w:val="16"/>
                        <w:szCs w:val="16"/>
                        <w:u w:val="none"/>
                      </w:rPr>
                      <w:t xml:space="preserve">Modification to Tenant Selection Plan </w:t>
                    </w:r>
                    <w:r w:rsidR="00C9484C" w:rsidRPr="003A0641">
                      <w:rPr>
                        <w:sz w:val="16"/>
                        <w:szCs w:val="16"/>
                        <w:u w:val="none"/>
                      </w:rPr>
                      <w:t xml:space="preserve">Revised: </w:t>
                    </w:r>
                    <w:r w:rsidR="00F946C4">
                      <w:rPr>
                        <w:sz w:val="16"/>
                        <w:szCs w:val="16"/>
                        <w:u w:val="none"/>
                      </w:rPr>
                      <w:t>April</w:t>
                    </w:r>
                    <w:r w:rsidRPr="003A0641">
                      <w:rPr>
                        <w:sz w:val="16"/>
                        <w:szCs w:val="16"/>
                        <w:u w:val="none"/>
                      </w:rPr>
                      <w:t xml:space="preserve"> 2024</w:t>
                    </w:r>
                  </w:p>
                </w:txbxContent>
              </v:textbox>
              <w10:wrap anchorx="page" anchory="page"/>
            </v:shape>
          </w:pict>
        </mc:Fallback>
      </mc:AlternateContent>
    </w:r>
    <w:r w:rsidR="0076234E" w:rsidRPr="003A0641">
      <w:rPr>
        <w:caps/>
        <w:u w:val="none"/>
      </w:rPr>
      <w:fldChar w:fldCharType="begin"/>
    </w:r>
    <w:r w:rsidR="0076234E" w:rsidRPr="003A0641">
      <w:rPr>
        <w:caps/>
        <w:u w:val="none"/>
      </w:rPr>
      <w:instrText xml:space="preserve"> PAGE   \* MERGEFORMAT </w:instrText>
    </w:r>
    <w:r w:rsidR="0076234E" w:rsidRPr="003A0641">
      <w:rPr>
        <w:caps/>
        <w:u w:val="none"/>
      </w:rPr>
      <w:fldChar w:fldCharType="separate"/>
    </w:r>
    <w:r w:rsidR="0076234E" w:rsidRPr="003A0641">
      <w:rPr>
        <w:caps/>
        <w:noProof/>
        <w:u w:val="none"/>
      </w:rPr>
      <w:t>2</w:t>
    </w:r>
    <w:r w:rsidR="0076234E" w:rsidRPr="003A0641">
      <w:rPr>
        <w:caps/>
        <w:noProof/>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C911" w14:textId="77777777" w:rsidR="00ED755E" w:rsidRDefault="00ED755E" w:rsidP="00293166">
      <w:r>
        <w:separator/>
      </w:r>
    </w:p>
  </w:footnote>
  <w:footnote w:type="continuationSeparator" w:id="0">
    <w:p w14:paraId="70C26E86" w14:textId="77777777" w:rsidR="00ED755E" w:rsidRDefault="00ED755E" w:rsidP="0029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D014" w14:textId="77777777" w:rsidR="00F21222" w:rsidRPr="00F21222" w:rsidRDefault="00F21222" w:rsidP="00F21222">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515"/>
    <w:multiLevelType w:val="hybridMultilevel"/>
    <w:tmpl w:val="D60408A8"/>
    <w:lvl w:ilvl="0" w:tplc="D1A07334">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CD6294"/>
    <w:multiLevelType w:val="hybridMultilevel"/>
    <w:tmpl w:val="08202588"/>
    <w:lvl w:ilvl="0" w:tplc="4934E1DC">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765C3"/>
    <w:multiLevelType w:val="hybridMultilevel"/>
    <w:tmpl w:val="67D4A8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D6D2C"/>
    <w:multiLevelType w:val="hybridMultilevel"/>
    <w:tmpl w:val="5B9034A0"/>
    <w:lvl w:ilvl="0" w:tplc="4752A856">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86B73"/>
    <w:multiLevelType w:val="hybridMultilevel"/>
    <w:tmpl w:val="4796D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9033E"/>
    <w:multiLevelType w:val="hybridMultilevel"/>
    <w:tmpl w:val="4460757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9E3B71"/>
    <w:multiLevelType w:val="hybridMultilevel"/>
    <w:tmpl w:val="1F76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27725"/>
    <w:multiLevelType w:val="hybridMultilevel"/>
    <w:tmpl w:val="57D2A9E6"/>
    <w:lvl w:ilvl="0" w:tplc="1C1CA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A77A6"/>
    <w:multiLevelType w:val="hybridMultilevel"/>
    <w:tmpl w:val="0510A72C"/>
    <w:lvl w:ilvl="0" w:tplc="740EDD22">
      <w:start w:val="1"/>
      <w:numFmt w:val="upperLetter"/>
      <w:lvlText w:val="%1."/>
      <w:lvlJc w:val="left"/>
      <w:pPr>
        <w:ind w:left="135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39E94F83"/>
    <w:multiLevelType w:val="hybridMultilevel"/>
    <w:tmpl w:val="959866AA"/>
    <w:lvl w:ilvl="0" w:tplc="9D60D520">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2C0B90"/>
    <w:multiLevelType w:val="hybridMultilevel"/>
    <w:tmpl w:val="F34A07D8"/>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4D6ECA"/>
    <w:multiLevelType w:val="hybridMultilevel"/>
    <w:tmpl w:val="0E16B87E"/>
    <w:lvl w:ilvl="0" w:tplc="F804532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D5D27"/>
    <w:multiLevelType w:val="hybridMultilevel"/>
    <w:tmpl w:val="D4E282AC"/>
    <w:lvl w:ilvl="0" w:tplc="5FDE5CE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09F23DD"/>
    <w:multiLevelType w:val="hybridMultilevel"/>
    <w:tmpl w:val="0166EDDC"/>
    <w:lvl w:ilvl="0" w:tplc="DD164D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D70EB"/>
    <w:multiLevelType w:val="hybridMultilevel"/>
    <w:tmpl w:val="795299D8"/>
    <w:lvl w:ilvl="0" w:tplc="4934E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5103BF"/>
    <w:multiLevelType w:val="hybridMultilevel"/>
    <w:tmpl w:val="8AE6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3201A"/>
    <w:multiLevelType w:val="hybridMultilevel"/>
    <w:tmpl w:val="3FD4308E"/>
    <w:lvl w:ilvl="0" w:tplc="3CC6D7E2">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4D32D92"/>
    <w:multiLevelType w:val="hybridMultilevel"/>
    <w:tmpl w:val="9E465328"/>
    <w:lvl w:ilvl="0" w:tplc="AE407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95A51"/>
    <w:multiLevelType w:val="hybridMultilevel"/>
    <w:tmpl w:val="A3544E9E"/>
    <w:lvl w:ilvl="0" w:tplc="1DD275C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33D302D"/>
    <w:multiLevelType w:val="hybridMultilevel"/>
    <w:tmpl w:val="027E0788"/>
    <w:lvl w:ilvl="0" w:tplc="413E5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569DC"/>
    <w:multiLevelType w:val="hybridMultilevel"/>
    <w:tmpl w:val="4EB0167E"/>
    <w:lvl w:ilvl="0" w:tplc="5E766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8980306">
    <w:abstractNumId w:val="19"/>
  </w:num>
  <w:num w:numId="2" w16cid:durableId="997423810">
    <w:abstractNumId w:val="6"/>
  </w:num>
  <w:num w:numId="3" w16cid:durableId="1140344415">
    <w:abstractNumId w:val="10"/>
  </w:num>
  <w:num w:numId="4" w16cid:durableId="2081829075">
    <w:abstractNumId w:val="15"/>
  </w:num>
  <w:num w:numId="5" w16cid:durableId="964626038">
    <w:abstractNumId w:val="18"/>
  </w:num>
  <w:num w:numId="6" w16cid:durableId="145129437">
    <w:abstractNumId w:val="4"/>
  </w:num>
  <w:num w:numId="7" w16cid:durableId="408963638">
    <w:abstractNumId w:val="2"/>
  </w:num>
  <w:num w:numId="8" w16cid:durableId="1124078146">
    <w:abstractNumId w:val="20"/>
  </w:num>
  <w:num w:numId="9" w16cid:durableId="403651242">
    <w:abstractNumId w:val="3"/>
  </w:num>
  <w:num w:numId="10" w16cid:durableId="896166697">
    <w:abstractNumId w:val="16"/>
  </w:num>
  <w:num w:numId="11" w16cid:durableId="1527325951">
    <w:abstractNumId w:val="8"/>
  </w:num>
  <w:num w:numId="12" w16cid:durableId="39864482">
    <w:abstractNumId w:val="5"/>
  </w:num>
  <w:num w:numId="13" w16cid:durableId="604777254">
    <w:abstractNumId w:val="7"/>
  </w:num>
  <w:num w:numId="14" w16cid:durableId="1011494052">
    <w:abstractNumId w:val="17"/>
  </w:num>
  <w:num w:numId="15" w16cid:durableId="1724792913">
    <w:abstractNumId w:val="14"/>
  </w:num>
  <w:num w:numId="16" w16cid:durableId="2091930053">
    <w:abstractNumId w:val="12"/>
  </w:num>
  <w:num w:numId="17" w16cid:durableId="34431547">
    <w:abstractNumId w:val="11"/>
  </w:num>
  <w:num w:numId="18" w16cid:durableId="204144818">
    <w:abstractNumId w:val="13"/>
  </w:num>
  <w:num w:numId="19" w16cid:durableId="157619851">
    <w:abstractNumId w:val="1"/>
  </w:num>
  <w:num w:numId="20" w16cid:durableId="573123978">
    <w:abstractNumId w:val="9"/>
  </w:num>
  <w:num w:numId="21" w16cid:durableId="82805666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5vD4T/PqjqKO/8ROajzlbLziBffLKFdBX4cQ396j9Rw4TsR5Mqs8N/foVTuYcp+jIJvdB2r8I8hqdeHxu0+heQ==" w:salt="/r8LTxVG/+//js37fkuaTw=="/>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5E"/>
    <w:rsid w:val="000001C0"/>
    <w:rsid w:val="00000B5C"/>
    <w:rsid w:val="000015BE"/>
    <w:rsid w:val="00001A69"/>
    <w:rsid w:val="00001F6E"/>
    <w:rsid w:val="00005AF8"/>
    <w:rsid w:val="00007CA8"/>
    <w:rsid w:val="000131E7"/>
    <w:rsid w:val="00015976"/>
    <w:rsid w:val="00016489"/>
    <w:rsid w:val="0001649E"/>
    <w:rsid w:val="00017728"/>
    <w:rsid w:val="00017CC4"/>
    <w:rsid w:val="00021B3F"/>
    <w:rsid w:val="00024CD3"/>
    <w:rsid w:val="00030CA4"/>
    <w:rsid w:val="0003297E"/>
    <w:rsid w:val="000334E0"/>
    <w:rsid w:val="000339BC"/>
    <w:rsid w:val="000354EB"/>
    <w:rsid w:val="00036175"/>
    <w:rsid w:val="0004148A"/>
    <w:rsid w:val="00043130"/>
    <w:rsid w:val="000464A9"/>
    <w:rsid w:val="00047A92"/>
    <w:rsid w:val="000509AC"/>
    <w:rsid w:val="00053CE3"/>
    <w:rsid w:val="00055121"/>
    <w:rsid w:val="000565C1"/>
    <w:rsid w:val="000566E0"/>
    <w:rsid w:val="0005760C"/>
    <w:rsid w:val="000602C7"/>
    <w:rsid w:val="00060B7A"/>
    <w:rsid w:val="00061FEC"/>
    <w:rsid w:val="00062500"/>
    <w:rsid w:val="00063D8A"/>
    <w:rsid w:val="000663DF"/>
    <w:rsid w:val="0006665B"/>
    <w:rsid w:val="00067772"/>
    <w:rsid w:val="00067BA6"/>
    <w:rsid w:val="00076711"/>
    <w:rsid w:val="00076CE1"/>
    <w:rsid w:val="000774CE"/>
    <w:rsid w:val="0008175E"/>
    <w:rsid w:val="00087B4C"/>
    <w:rsid w:val="00090F95"/>
    <w:rsid w:val="00093177"/>
    <w:rsid w:val="00093708"/>
    <w:rsid w:val="00093DD4"/>
    <w:rsid w:val="00094CA2"/>
    <w:rsid w:val="00095D03"/>
    <w:rsid w:val="0009720F"/>
    <w:rsid w:val="00097734"/>
    <w:rsid w:val="00097B0E"/>
    <w:rsid w:val="000A0012"/>
    <w:rsid w:val="000A2D4D"/>
    <w:rsid w:val="000A48FA"/>
    <w:rsid w:val="000A781D"/>
    <w:rsid w:val="000B1625"/>
    <w:rsid w:val="000B20AC"/>
    <w:rsid w:val="000B5C32"/>
    <w:rsid w:val="000C5954"/>
    <w:rsid w:val="000D3D33"/>
    <w:rsid w:val="000D4EFD"/>
    <w:rsid w:val="000D7190"/>
    <w:rsid w:val="000D7DDC"/>
    <w:rsid w:val="000E1DE0"/>
    <w:rsid w:val="000E29FF"/>
    <w:rsid w:val="000E45A5"/>
    <w:rsid w:val="000E4738"/>
    <w:rsid w:val="000E4A36"/>
    <w:rsid w:val="000E6EB0"/>
    <w:rsid w:val="000F1192"/>
    <w:rsid w:val="000F241A"/>
    <w:rsid w:val="000F3172"/>
    <w:rsid w:val="000F5202"/>
    <w:rsid w:val="000F5D45"/>
    <w:rsid w:val="000F7E70"/>
    <w:rsid w:val="00100289"/>
    <w:rsid w:val="0010100C"/>
    <w:rsid w:val="001011FD"/>
    <w:rsid w:val="001025A1"/>
    <w:rsid w:val="00102CD6"/>
    <w:rsid w:val="00103B87"/>
    <w:rsid w:val="00104A46"/>
    <w:rsid w:val="00115ACD"/>
    <w:rsid w:val="00117E2C"/>
    <w:rsid w:val="00120375"/>
    <w:rsid w:val="001211C1"/>
    <w:rsid w:val="00121A30"/>
    <w:rsid w:val="00124030"/>
    <w:rsid w:val="0012622E"/>
    <w:rsid w:val="00130F3F"/>
    <w:rsid w:val="00131714"/>
    <w:rsid w:val="0013227C"/>
    <w:rsid w:val="001372F0"/>
    <w:rsid w:val="001403E0"/>
    <w:rsid w:val="0014108B"/>
    <w:rsid w:val="001453F4"/>
    <w:rsid w:val="0014696F"/>
    <w:rsid w:val="001527E3"/>
    <w:rsid w:val="00153316"/>
    <w:rsid w:val="00156B56"/>
    <w:rsid w:val="00160668"/>
    <w:rsid w:val="00163CE3"/>
    <w:rsid w:val="00166E5E"/>
    <w:rsid w:val="00167FCA"/>
    <w:rsid w:val="0017021F"/>
    <w:rsid w:val="001708DE"/>
    <w:rsid w:val="00175AF7"/>
    <w:rsid w:val="00176293"/>
    <w:rsid w:val="00176C87"/>
    <w:rsid w:val="00177EED"/>
    <w:rsid w:val="00183FD5"/>
    <w:rsid w:val="00184782"/>
    <w:rsid w:val="001848CE"/>
    <w:rsid w:val="00184D85"/>
    <w:rsid w:val="0018670A"/>
    <w:rsid w:val="0018685B"/>
    <w:rsid w:val="00187C28"/>
    <w:rsid w:val="001915F1"/>
    <w:rsid w:val="00191764"/>
    <w:rsid w:val="0019196C"/>
    <w:rsid w:val="0019287B"/>
    <w:rsid w:val="00193799"/>
    <w:rsid w:val="001960E0"/>
    <w:rsid w:val="001966E2"/>
    <w:rsid w:val="001A2E7B"/>
    <w:rsid w:val="001B249D"/>
    <w:rsid w:val="001B2FDE"/>
    <w:rsid w:val="001B4C00"/>
    <w:rsid w:val="001B5ACB"/>
    <w:rsid w:val="001B6CBC"/>
    <w:rsid w:val="001B74B8"/>
    <w:rsid w:val="001B7C56"/>
    <w:rsid w:val="001C24FC"/>
    <w:rsid w:val="001C339C"/>
    <w:rsid w:val="001C5070"/>
    <w:rsid w:val="001D24A3"/>
    <w:rsid w:val="001D3E9C"/>
    <w:rsid w:val="001D6CE5"/>
    <w:rsid w:val="001D72D7"/>
    <w:rsid w:val="001E092D"/>
    <w:rsid w:val="001E132E"/>
    <w:rsid w:val="001E3C5B"/>
    <w:rsid w:val="001E4894"/>
    <w:rsid w:val="001E4D6B"/>
    <w:rsid w:val="001E78A5"/>
    <w:rsid w:val="001F3A3E"/>
    <w:rsid w:val="00202076"/>
    <w:rsid w:val="002049C2"/>
    <w:rsid w:val="00204B22"/>
    <w:rsid w:val="0020546D"/>
    <w:rsid w:val="00211E5B"/>
    <w:rsid w:val="002120C2"/>
    <w:rsid w:val="0021307A"/>
    <w:rsid w:val="0021439F"/>
    <w:rsid w:val="00214B11"/>
    <w:rsid w:val="0021752D"/>
    <w:rsid w:val="002238B7"/>
    <w:rsid w:val="00227B64"/>
    <w:rsid w:val="00227CB8"/>
    <w:rsid w:val="00231D3E"/>
    <w:rsid w:val="00232711"/>
    <w:rsid w:val="00235F2D"/>
    <w:rsid w:val="002459BB"/>
    <w:rsid w:val="00245C12"/>
    <w:rsid w:val="00250415"/>
    <w:rsid w:val="00250714"/>
    <w:rsid w:val="00253E8E"/>
    <w:rsid w:val="00255DDA"/>
    <w:rsid w:val="00266F83"/>
    <w:rsid w:val="00267750"/>
    <w:rsid w:val="00267883"/>
    <w:rsid w:val="00270111"/>
    <w:rsid w:val="00270C25"/>
    <w:rsid w:val="0027250D"/>
    <w:rsid w:val="002731C9"/>
    <w:rsid w:val="002735D6"/>
    <w:rsid w:val="00275E7B"/>
    <w:rsid w:val="0027700F"/>
    <w:rsid w:val="00277018"/>
    <w:rsid w:val="00277DC9"/>
    <w:rsid w:val="00277DD8"/>
    <w:rsid w:val="00285899"/>
    <w:rsid w:val="00285ABA"/>
    <w:rsid w:val="00287D03"/>
    <w:rsid w:val="00290281"/>
    <w:rsid w:val="00291615"/>
    <w:rsid w:val="00293166"/>
    <w:rsid w:val="00294B2A"/>
    <w:rsid w:val="0029516F"/>
    <w:rsid w:val="002962AD"/>
    <w:rsid w:val="00297D3E"/>
    <w:rsid w:val="002A174A"/>
    <w:rsid w:val="002A21C3"/>
    <w:rsid w:val="002A2899"/>
    <w:rsid w:val="002A291E"/>
    <w:rsid w:val="002A2A1E"/>
    <w:rsid w:val="002A54BA"/>
    <w:rsid w:val="002A6990"/>
    <w:rsid w:val="002B0D13"/>
    <w:rsid w:val="002B6D97"/>
    <w:rsid w:val="002B7938"/>
    <w:rsid w:val="002C69BA"/>
    <w:rsid w:val="002C6EE7"/>
    <w:rsid w:val="002C79B5"/>
    <w:rsid w:val="002D020F"/>
    <w:rsid w:val="002D1AD0"/>
    <w:rsid w:val="002D3202"/>
    <w:rsid w:val="002D38D3"/>
    <w:rsid w:val="002D48C9"/>
    <w:rsid w:val="002D4F7D"/>
    <w:rsid w:val="002D7DD6"/>
    <w:rsid w:val="002E3BED"/>
    <w:rsid w:val="002E4D12"/>
    <w:rsid w:val="002E5DB4"/>
    <w:rsid w:val="002E74A1"/>
    <w:rsid w:val="002F1440"/>
    <w:rsid w:val="002F61BA"/>
    <w:rsid w:val="002F7108"/>
    <w:rsid w:val="00302C35"/>
    <w:rsid w:val="0030571F"/>
    <w:rsid w:val="00312B0C"/>
    <w:rsid w:val="0031511C"/>
    <w:rsid w:val="00320DBC"/>
    <w:rsid w:val="00325A7A"/>
    <w:rsid w:val="00326B49"/>
    <w:rsid w:val="00327D1F"/>
    <w:rsid w:val="003337ED"/>
    <w:rsid w:val="00333E61"/>
    <w:rsid w:val="0033422C"/>
    <w:rsid w:val="0033574E"/>
    <w:rsid w:val="00336D6D"/>
    <w:rsid w:val="00336F07"/>
    <w:rsid w:val="0033766B"/>
    <w:rsid w:val="00340468"/>
    <w:rsid w:val="0034757A"/>
    <w:rsid w:val="00351772"/>
    <w:rsid w:val="00352443"/>
    <w:rsid w:val="00352687"/>
    <w:rsid w:val="00353D91"/>
    <w:rsid w:val="00365025"/>
    <w:rsid w:val="00366662"/>
    <w:rsid w:val="00367CC0"/>
    <w:rsid w:val="00370BA5"/>
    <w:rsid w:val="003716C2"/>
    <w:rsid w:val="00372CA6"/>
    <w:rsid w:val="003741CB"/>
    <w:rsid w:val="00374720"/>
    <w:rsid w:val="00375863"/>
    <w:rsid w:val="00377258"/>
    <w:rsid w:val="00377E57"/>
    <w:rsid w:val="003804CF"/>
    <w:rsid w:val="00381437"/>
    <w:rsid w:val="00385648"/>
    <w:rsid w:val="00391AAA"/>
    <w:rsid w:val="00393AB6"/>
    <w:rsid w:val="0039473F"/>
    <w:rsid w:val="0039636B"/>
    <w:rsid w:val="003A0479"/>
    <w:rsid w:val="003A0641"/>
    <w:rsid w:val="003A15DE"/>
    <w:rsid w:val="003A26CB"/>
    <w:rsid w:val="003B368D"/>
    <w:rsid w:val="003B4A9A"/>
    <w:rsid w:val="003B56B0"/>
    <w:rsid w:val="003B5725"/>
    <w:rsid w:val="003C63B8"/>
    <w:rsid w:val="003C7EE9"/>
    <w:rsid w:val="003D0305"/>
    <w:rsid w:val="003D1C2A"/>
    <w:rsid w:val="003D5E59"/>
    <w:rsid w:val="003D6EDF"/>
    <w:rsid w:val="003E6FDD"/>
    <w:rsid w:val="003F0552"/>
    <w:rsid w:val="003F1200"/>
    <w:rsid w:val="00401448"/>
    <w:rsid w:val="004026AC"/>
    <w:rsid w:val="00402E06"/>
    <w:rsid w:val="0040361E"/>
    <w:rsid w:val="004038BD"/>
    <w:rsid w:val="00403C0F"/>
    <w:rsid w:val="0040469E"/>
    <w:rsid w:val="004110F9"/>
    <w:rsid w:val="00412950"/>
    <w:rsid w:val="004158CB"/>
    <w:rsid w:val="00417474"/>
    <w:rsid w:val="004178E2"/>
    <w:rsid w:val="00423888"/>
    <w:rsid w:val="00426622"/>
    <w:rsid w:val="0042691F"/>
    <w:rsid w:val="00426FF6"/>
    <w:rsid w:val="004306E3"/>
    <w:rsid w:val="00431043"/>
    <w:rsid w:val="00435493"/>
    <w:rsid w:val="00435AA0"/>
    <w:rsid w:val="004368A0"/>
    <w:rsid w:val="0044141E"/>
    <w:rsid w:val="004426BB"/>
    <w:rsid w:val="00445116"/>
    <w:rsid w:val="00445AC1"/>
    <w:rsid w:val="00446218"/>
    <w:rsid w:val="00454C9B"/>
    <w:rsid w:val="004553A1"/>
    <w:rsid w:val="004556FF"/>
    <w:rsid w:val="00456174"/>
    <w:rsid w:val="004614F7"/>
    <w:rsid w:val="00461A15"/>
    <w:rsid w:val="004623A5"/>
    <w:rsid w:val="0046365B"/>
    <w:rsid w:val="0046452C"/>
    <w:rsid w:val="00471066"/>
    <w:rsid w:val="00473685"/>
    <w:rsid w:val="00473CF9"/>
    <w:rsid w:val="00474229"/>
    <w:rsid w:val="0047638A"/>
    <w:rsid w:val="00476E44"/>
    <w:rsid w:val="004800B6"/>
    <w:rsid w:val="00481C6B"/>
    <w:rsid w:val="00481E31"/>
    <w:rsid w:val="004821C7"/>
    <w:rsid w:val="00482B6F"/>
    <w:rsid w:val="004860C2"/>
    <w:rsid w:val="004865AD"/>
    <w:rsid w:val="00487C7D"/>
    <w:rsid w:val="00490B7E"/>
    <w:rsid w:val="00494850"/>
    <w:rsid w:val="004950E5"/>
    <w:rsid w:val="00495D45"/>
    <w:rsid w:val="00497029"/>
    <w:rsid w:val="004A063C"/>
    <w:rsid w:val="004A0FC7"/>
    <w:rsid w:val="004A41DF"/>
    <w:rsid w:val="004B49E0"/>
    <w:rsid w:val="004B7789"/>
    <w:rsid w:val="004C08C5"/>
    <w:rsid w:val="004C418A"/>
    <w:rsid w:val="004C477E"/>
    <w:rsid w:val="004C792C"/>
    <w:rsid w:val="004D1CD4"/>
    <w:rsid w:val="004D36F8"/>
    <w:rsid w:val="004D5F57"/>
    <w:rsid w:val="004E3B2F"/>
    <w:rsid w:val="004E56E2"/>
    <w:rsid w:val="004E733C"/>
    <w:rsid w:val="004F1EC3"/>
    <w:rsid w:val="004F5907"/>
    <w:rsid w:val="004F7143"/>
    <w:rsid w:val="00502D9F"/>
    <w:rsid w:val="00512CAC"/>
    <w:rsid w:val="0051478F"/>
    <w:rsid w:val="00515998"/>
    <w:rsid w:val="005170C3"/>
    <w:rsid w:val="005222DC"/>
    <w:rsid w:val="0053018C"/>
    <w:rsid w:val="00530B7F"/>
    <w:rsid w:val="00530C51"/>
    <w:rsid w:val="00532D4A"/>
    <w:rsid w:val="005341BF"/>
    <w:rsid w:val="00536B50"/>
    <w:rsid w:val="00540C49"/>
    <w:rsid w:val="00540F51"/>
    <w:rsid w:val="00541AB2"/>
    <w:rsid w:val="005424E7"/>
    <w:rsid w:val="00542842"/>
    <w:rsid w:val="00545C6A"/>
    <w:rsid w:val="00547471"/>
    <w:rsid w:val="00547603"/>
    <w:rsid w:val="005510C9"/>
    <w:rsid w:val="00552CF4"/>
    <w:rsid w:val="005541FF"/>
    <w:rsid w:val="005558D9"/>
    <w:rsid w:val="00557D52"/>
    <w:rsid w:val="005609FA"/>
    <w:rsid w:val="00560EB8"/>
    <w:rsid w:val="00561EA1"/>
    <w:rsid w:val="00563CFE"/>
    <w:rsid w:val="00565059"/>
    <w:rsid w:val="005653EC"/>
    <w:rsid w:val="0056722D"/>
    <w:rsid w:val="00567792"/>
    <w:rsid w:val="005677CE"/>
    <w:rsid w:val="005721A6"/>
    <w:rsid w:val="005763A9"/>
    <w:rsid w:val="00577C3E"/>
    <w:rsid w:val="005821D3"/>
    <w:rsid w:val="0058259D"/>
    <w:rsid w:val="00584CF0"/>
    <w:rsid w:val="00584DEF"/>
    <w:rsid w:val="00584EAE"/>
    <w:rsid w:val="00591B75"/>
    <w:rsid w:val="00592C69"/>
    <w:rsid w:val="005954EC"/>
    <w:rsid w:val="005A1FCE"/>
    <w:rsid w:val="005A23E9"/>
    <w:rsid w:val="005A46F4"/>
    <w:rsid w:val="005A481D"/>
    <w:rsid w:val="005B33B3"/>
    <w:rsid w:val="005B5236"/>
    <w:rsid w:val="005C0ED6"/>
    <w:rsid w:val="005C2AC0"/>
    <w:rsid w:val="005C3688"/>
    <w:rsid w:val="005D2632"/>
    <w:rsid w:val="005D333E"/>
    <w:rsid w:val="005D406D"/>
    <w:rsid w:val="005D7752"/>
    <w:rsid w:val="005E1319"/>
    <w:rsid w:val="005E2110"/>
    <w:rsid w:val="005E22C1"/>
    <w:rsid w:val="005E535C"/>
    <w:rsid w:val="005E60BB"/>
    <w:rsid w:val="005E61D4"/>
    <w:rsid w:val="005F0AE6"/>
    <w:rsid w:val="005F267D"/>
    <w:rsid w:val="005F29B1"/>
    <w:rsid w:val="005F4D79"/>
    <w:rsid w:val="005F6706"/>
    <w:rsid w:val="00601053"/>
    <w:rsid w:val="00601B74"/>
    <w:rsid w:val="00604F81"/>
    <w:rsid w:val="00605CB1"/>
    <w:rsid w:val="006104BD"/>
    <w:rsid w:val="0061178A"/>
    <w:rsid w:val="00621DA8"/>
    <w:rsid w:val="006236EE"/>
    <w:rsid w:val="006237A9"/>
    <w:rsid w:val="00624231"/>
    <w:rsid w:val="006307F0"/>
    <w:rsid w:val="00631ED6"/>
    <w:rsid w:val="006321D5"/>
    <w:rsid w:val="00632699"/>
    <w:rsid w:val="00634635"/>
    <w:rsid w:val="006408AB"/>
    <w:rsid w:val="00641DB9"/>
    <w:rsid w:val="006432F2"/>
    <w:rsid w:val="00643464"/>
    <w:rsid w:val="00644169"/>
    <w:rsid w:val="00645207"/>
    <w:rsid w:val="00646BEC"/>
    <w:rsid w:val="00650003"/>
    <w:rsid w:val="006505E8"/>
    <w:rsid w:val="0065415F"/>
    <w:rsid w:val="00654BC2"/>
    <w:rsid w:val="006552E7"/>
    <w:rsid w:val="00657EC7"/>
    <w:rsid w:val="00660292"/>
    <w:rsid w:val="0066158F"/>
    <w:rsid w:val="0066548A"/>
    <w:rsid w:val="006654D2"/>
    <w:rsid w:val="006658FD"/>
    <w:rsid w:val="00680EAB"/>
    <w:rsid w:val="0068192B"/>
    <w:rsid w:val="006832F0"/>
    <w:rsid w:val="0068545F"/>
    <w:rsid w:val="006863D9"/>
    <w:rsid w:val="006927EB"/>
    <w:rsid w:val="00693B16"/>
    <w:rsid w:val="00693FAD"/>
    <w:rsid w:val="0069797B"/>
    <w:rsid w:val="006A106D"/>
    <w:rsid w:val="006A1E2F"/>
    <w:rsid w:val="006A3075"/>
    <w:rsid w:val="006A4627"/>
    <w:rsid w:val="006A5744"/>
    <w:rsid w:val="006B30EC"/>
    <w:rsid w:val="006B475F"/>
    <w:rsid w:val="006B481E"/>
    <w:rsid w:val="006B5C13"/>
    <w:rsid w:val="006B6D52"/>
    <w:rsid w:val="006B74EB"/>
    <w:rsid w:val="006C4530"/>
    <w:rsid w:val="006C72CC"/>
    <w:rsid w:val="006D06BC"/>
    <w:rsid w:val="006D1130"/>
    <w:rsid w:val="006D2C8E"/>
    <w:rsid w:val="006D3CF0"/>
    <w:rsid w:val="006E044C"/>
    <w:rsid w:val="006E57CC"/>
    <w:rsid w:val="006E6038"/>
    <w:rsid w:val="006E6A02"/>
    <w:rsid w:val="006F2D11"/>
    <w:rsid w:val="006F30E6"/>
    <w:rsid w:val="006F49CB"/>
    <w:rsid w:val="006F5445"/>
    <w:rsid w:val="006F6330"/>
    <w:rsid w:val="0070016C"/>
    <w:rsid w:val="0070226F"/>
    <w:rsid w:val="00702FD7"/>
    <w:rsid w:val="0070563A"/>
    <w:rsid w:val="00705924"/>
    <w:rsid w:val="00705A48"/>
    <w:rsid w:val="0070742E"/>
    <w:rsid w:val="007074C3"/>
    <w:rsid w:val="00717C75"/>
    <w:rsid w:val="007218CB"/>
    <w:rsid w:val="00721BB2"/>
    <w:rsid w:val="00721F67"/>
    <w:rsid w:val="00723001"/>
    <w:rsid w:val="00723A52"/>
    <w:rsid w:val="00724002"/>
    <w:rsid w:val="00737A7D"/>
    <w:rsid w:val="0074000A"/>
    <w:rsid w:val="00741F22"/>
    <w:rsid w:val="00744B56"/>
    <w:rsid w:val="007531DC"/>
    <w:rsid w:val="00753D15"/>
    <w:rsid w:val="00757716"/>
    <w:rsid w:val="00760386"/>
    <w:rsid w:val="00760860"/>
    <w:rsid w:val="00760A94"/>
    <w:rsid w:val="00760ED4"/>
    <w:rsid w:val="0076234E"/>
    <w:rsid w:val="00762E8F"/>
    <w:rsid w:val="00770E94"/>
    <w:rsid w:val="00773E61"/>
    <w:rsid w:val="007745E0"/>
    <w:rsid w:val="00774D68"/>
    <w:rsid w:val="00775B4D"/>
    <w:rsid w:val="007761EE"/>
    <w:rsid w:val="00776254"/>
    <w:rsid w:val="00781DDA"/>
    <w:rsid w:val="007905B1"/>
    <w:rsid w:val="00791078"/>
    <w:rsid w:val="007A2E47"/>
    <w:rsid w:val="007A3CB0"/>
    <w:rsid w:val="007A567F"/>
    <w:rsid w:val="007A5A20"/>
    <w:rsid w:val="007B0947"/>
    <w:rsid w:val="007B3EA9"/>
    <w:rsid w:val="007B6176"/>
    <w:rsid w:val="007B7317"/>
    <w:rsid w:val="007B7345"/>
    <w:rsid w:val="007B7A44"/>
    <w:rsid w:val="007C62FB"/>
    <w:rsid w:val="007C7B92"/>
    <w:rsid w:val="007D1569"/>
    <w:rsid w:val="007D2038"/>
    <w:rsid w:val="007D35C5"/>
    <w:rsid w:val="007D556A"/>
    <w:rsid w:val="007D58C2"/>
    <w:rsid w:val="007D5F24"/>
    <w:rsid w:val="007D77BE"/>
    <w:rsid w:val="007E0340"/>
    <w:rsid w:val="007E094A"/>
    <w:rsid w:val="007E22A4"/>
    <w:rsid w:val="007F11BE"/>
    <w:rsid w:val="007F1EBF"/>
    <w:rsid w:val="007F2374"/>
    <w:rsid w:val="007F24EE"/>
    <w:rsid w:val="007F6E67"/>
    <w:rsid w:val="00800187"/>
    <w:rsid w:val="008004E5"/>
    <w:rsid w:val="008009B2"/>
    <w:rsid w:val="008025FD"/>
    <w:rsid w:val="00803319"/>
    <w:rsid w:val="00804894"/>
    <w:rsid w:val="00806DA7"/>
    <w:rsid w:val="00812183"/>
    <w:rsid w:val="00813F23"/>
    <w:rsid w:val="008148BB"/>
    <w:rsid w:val="00814E24"/>
    <w:rsid w:val="0081574A"/>
    <w:rsid w:val="008164EA"/>
    <w:rsid w:val="00816503"/>
    <w:rsid w:val="00816946"/>
    <w:rsid w:val="0082009E"/>
    <w:rsid w:val="008203E6"/>
    <w:rsid w:val="008239B4"/>
    <w:rsid w:val="00826E17"/>
    <w:rsid w:val="00831BB0"/>
    <w:rsid w:val="0083239A"/>
    <w:rsid w:val="00835256"/>
    <w:rsid w:val="008354AC"/>
    <w:rsid w:val="00835AEC"/>
    <w:rsid w:val="00835C34"/>
    <w:rsid w:val="00837380"/>
    <w:rsid w:val="0084007B"/>
    <w:rsid w:val="00841862"/>
    <w:rsid w:val="00845A57"/>
    <w:rsid w:val="00846374"/>
    <w:rsid w:val="00852BAB"/>
    <w:rsid w:val="00854AE9"/>
    <w:rsid w:val="008660DF"/>
    <w:rsid w:val="008664E8"/>
    <w:rsid w:val="00875109"/>
    <w:rsid w:val="00875880"/>
    <w:rsid w:val="00880480"/>
    <w:rsid w:val="0088061E"/>
    <w:rsid w:val="00883A49"/>
    <w:rsid w:val="0088510F"/>
    <w:rsid w:val="00886518"/>
    <w:rsid w:val="00893384"/>
    <w:rsid w:val="00894ED3"/>
    <w:rsid w:val="0089667F"/>
    <w:rsid w:val="00897A6A"/>
    <w:rsid w:val="008A1524"/>
    <w:rsid w:val="008A26C3"/>
    <w:rsid w:val="008A6525"/>
    <w:rsid w:val="008A6922"/>
    <w:rsid w:val="008B1A7E"/>
    <w:rsid w:val="008B587C"/>
    <w:rsid w:val="008B594D"/>
    <w:rsid w:val="008B6406"/>
    <w:rsid w:val="008C3AD2"/>
    <w:rsid w:val="008C66E4"/>
    <w:rsid w:val="008C6938"/>
    <w:rsid w:val="008C7156"/>
    <w:rsid w:val="008D1E9F"/>
    <w:rsid w:val="008D2C71"/>
    <w:rsid w:val="008D3AFE"/>
    <w:rsid w:val="008D4BFC"/>
    <w:rsid w:val="008D767C"/>
    <w:rsid w:val="008E1340"/>
    <w:rsid w:val="008E1449"/>
    <w:rsid w:val="008E397B"/>
    <w:rsid w:val="008E4B75"/>
    <w:rsid w:val="008E77E3"/>
    <w:rsid w:val="008E7B46"/>
    <w:rsid w:val="008F2406"/>
    <w:rsid w:val="008F2F34"/>
    <w:rsid w:val="008F4047"/>
    <w:rsid w:val="008F5324"/>
    <w:rsid w:val="008F7591"/>
    <w:rsid w:val="008F7B61"/>
    <w:rsid w:val="00900219"/>
    <w:rsid w:val="009078A1"/>
    <w:rsid w:val="009151CE"/>
    <w:rsid w:val="00917199"/>
    <w:rsid w:val="00917538"/>
    <w:rsid w:val="0092027D"/>
    <w:rsid w:val="00920CE0"/>
    <w:rsid w:val="0092196F"/>
    <w:rsid w:val="009223D6"/>
    <w:rsid w:val="009275C5"/>
    <w:rsid w:val="00927EC3"/>
    <w:rsid w:val="00932491"/>
    <w:rsid w:val="00932541"/>
    <w:rsid w:val="00932A27"/>
    <w:rsid w:val="00933493"/>
    <w:rsid w:val="00940F2F"/>
    <w:rsid w:val="009410CA"/>
    <w:rsid w:val="00941395"/>
    <w:rsid w:val="009466D7"/>
    <w:rsid w:val="009471B8"/>
    <w:rsid w:val="00947225"/>
    <w:rsid w:val="0095293E"/>
    <w:rsid w:val="00952CA1"/>
    <w:rsid w:val="009559AC"/>
    <w:rsid w:val="009568B1"/>
    <w:rsid w:val="00961D51"/>
    <w:rsid w:val="00962582"/>
    <w:rsid w:val="0096336E"/>
    <w:rsid w:val="009649D6"/>
    <w:rsid w:val="00970F27"/>
    <w:rsid w:val="00972BDC"/>
    <w:rsid w:val="00972CA2"/>
    <w:rsid w:val="0097487C"/>
    <w:rsid w:val="00976A6C"/>
    <w:rsid w:val="00981304"/>
    <w:rsid w:val="00984158"/>
    <w:rsid w:val="009927B6"/>
    <w:rsid w:val="00993578"/>
    <w:rsid w:val="009955E6"/>
    <w:rsid w:val="00995971"/>
    <w:rsid w:val="0099739F"/>
    <w:rsid w:val="009A0982"/>
    <w:rsid w:val="009A1921"/>
    <w:rsid w:val="009B0DF2"/>
    <w:rsid w:val="009B1508"/>
    <w:rsid w:val="009B27AE"/>
    <w:rsid w:val="009B3437"/>
    <w:rsid w:val="009B74DF"/>
    <w:rsid w:val="009C51CF"/>
    <w:rsid w:val="009C7526"/>
    <w:rsid w:val="009D13CE"/>
    <w:rsid w:val="009D2720"/>
    <w:rsid w:val="009D476C"/>
    <w:rsid w:val="009D58EF"/>
    <w:rsid w:val="009E0104"/>
    <w:rsid w:val="009E0DEF"/>
    <w:rsid w:val="009E185B"/>
    <w:rsid w:val="009E1B06"/>
    <w:rsid w:val="009E21FB"/>
    <w:rsid w:val="009E2D74"/>
    <w:rsid w:val="009E43AB"/>
    <w:rsid w:val="009E54E7"/>
    <w:rsid w:val="009E5E07"/>
    <w:rsid w:val="009F59B6"/>
    <w:rsid w:val="009F63A5"/>
    <w:rsid w:val="009F7733"/>
    <w:rsid w:val="00A05A8D"/>
    <w:rsid w:val="00A061A4"/>
    <w:rsid w:val="00A108EF"/>
    <w:rsid w:val="00A10E3C"/>
    <w:rsid w:val="00A1197B"/>
    <w:rsid w:val="00A14293"/>
    <w:rsid w:val="00A15E4E"/>
    <w:rsid w:val="00A16BB9"/>
    <w:rsid w:val="00A16D6B"/>
    <w:rsid w:val="00A17703"/>
    <w:rsid w:val="00A20AD2"/>
    <w:rsid w:val="00A2297B"/>
    <w:rsid w:val="00A24FD1"/>
    <w:rsid w:val="00A30856"/>
    <w:rsid w:val="00A3209A"/>
    <w:rsid w:val="00A32523"/>
    <w:rsid w:val="00A32C6F"/>
    <w:rsid w:val="00A336A4"/>
    <w:rsid w:val="00A343B6"/>
    <w:rsid w:val="00A34B42"/>
    <w:rsid w:val="00A37DA1"/>
    <w:rsid w:val="00A43B99"/>
    <w:rsid w:val="00A44C91"/>
    <w:rsid w:val="00A4541A"/>
    <w:rsid w:val="00A46002"/>
    <w:rsid w:val="00A47686"/>
    <w:rsid w:val="00A517ED"/>
    <w:rsid w:val="00A51AE5"/>
    <w:rsid w:val="00A538B6"/>
    <w:rsid w:val="00A53B5A"/>
    <w:rsid w:val="00A543B4"/>
    <w:rsid w:val="00A560BB"/>
    <w:rsid w:val="00A56E27"/>
    <w:rsid w:val="00A571D3"/>
    <w:rsid w:val="00A57587"/>
    <w:rsid w:val="00A57CF2"/>
    <w:rsid w:val="00A6111C"/>
    <w:rsid w:val="00A620F8"/>
    <w:rsid w:val="00A62894"/>
    <w:rsid w:val="00A62C25"/>
    <w:rsid w:val="00A65589"/>
    <w:rsid w:val="00A67ECD"/>
    <w:rsid w:val="00A71249"/>
    <w:rsid w:val="00A71366"/>
    <w:rsid w:val="00A7480A"/>
    <w:rsid w:val="00A74A41"/>
    <w:rsid w:val="00A74B23"/>
    <w:rsid w:val="00A74D8F"/>
    <w:rsid w:val="00A76615"/>
    <w:rsid w:val="00A83000"/>
    <w:rsid w:val="00A84874"/>
    <w:rsid w:val="00A85A03"/>
    <w:rsid w:val="00A868D1"/>
    <w:rsid w:val="00A86E5C"/>
    <w:rsid w:val="00A90737"/>
    <w:rsid w:val="00A919FC"/>
    <w:rsid w:val="00A95444"/>
    <w:rsid w:val="00A95DFC"/>
    <w:rsid w:val="00AA6932"/>
    <w:rsid w:val="00AA78CF"/>
    <w:rsid w:val="00AB0BD4"/>
    <w:rsid w:val="00AB2755"/>
    <w:rsid w:val="00AB319A"/>
    <w:rsid w:val="00AB5302"/>
    <w:rsid w:val="00AB5371"/>
    <w:rsid w:val="00AB5EAC"/>
    <w:rsid w:val="00AB6BAA"/>
    <w:rsid w:val="00AB7398"/>
    <w:rsid w:val="00AC0E32"/>
    <w:rsid w:val="00AD25CC"/>
    <w:rsid w:val="00AD28E9"/>
    <w:rsid w:val="00AD67A5"/>
    <w:rsid w:val="00AD7C7C"/>
    <w:rsid w:val="00AE08A0"/>
    <w:rsid w:val="00AE1490"/>
    <w:rsid w:val="00AE189C"/>
    <w:rsid w:val="00AE6467"/>
    <w:rsid w:val="00AF1427"/>
    <w:rsid w:val="00AF5D38"/>
    <w:rsid w:val="00B02D9A"/>
    <w:rsid w:val="00B058C0"/>
    <w:rsid w:val="00B05C5D"/>
    <w:rsid w:val="00B10634"/>
    <w:rsid w:val="00B15EC7"/>
    <w:rsid w:val="00B167D9"/>
    <w:rsid w:val="00B20366"/>
    <w:rsid w:val="00B209D3"/>
    <w:rsid w:val="00B2308A"/>
    <w:rsid w:val="00B231FE"/>
    <w:rsid w:val="00B25E68"/>
    <w:rsid w:val="00B27ADB"/>
    <w:rsid w:val="00B27D88"/>
    <w:rsid w:val="00B3604C"/>
    <w:rsid w:val="00B41414"/>
    <w:rsid w:val="00B4635B"/>
    <w:rsid w:val="00B4652A"/>
    <w:rsid w:val="00B5091D"/>
    <w:rsid w:val="00B515FF"/>
    <w:rsid w:val="00B52641"/>
    <w:rsid w:val="00B54A91"/>
    <w:rsid w:val="00B55DB6"/>
    <w:rsid w:val="00B5642A"/>
    <w:rsid w:val="00B613DC"/>
    <w:rsid w:val="00B669EB"/>
    <w:rsid w:val="00B7263C"/>
    <w:rsid w:val="00B74D28"/>
    <w:rsid w:val="00B76795"/>
    <w:rsid w:val="00B8287A"/>
    <w:rsid w:val="00B82979"/>
    <w:rsid w:val="00B837F4"/>
    <w:rsid w:val="00B855E4"/>
    <w:rsid w:val="00B86815"/>
    <w:rsid w:val="00B92E02"/>
    <w:rsid w:val="00B94E19"/>
    <w:rsid w:val="00BA22A5"/>
    <w:rsid w:val="00BA255E"/>
    <w:rsid w:val="00BA4193"/>
    <w:rsid w:val="00BB116B"/>
    <w:rsid w:val="00BB15DE"/>
    <w:rsid w:val="00BB4C80"/>
    <w:rsid w:val="00BC40EE"/>
    <w:rsid w:val="00BD4901"/>
    <w:rsid w:val="00BD4F78"/>
    <w:rsid w:val="00BD6839"/>
    <w:rsid w:val="00BD6EE0"/>
    <w:rsid w:val="00BE1018"/>
    <w:rsid w:val="00BE3C4C"/>
    <w:rsid w:val="00BE7910"/>
    <w:rsid w:val="00BE7993"/>
    <w:rsid w:val="00BE7AF2"/>
    <w:rsid w:val="00BF0BE3"/>
    <w:rsid w:val="00BF2FE4"/>
    <w:rsid w:val="00BF303B"/>
    <w:rsid w:val="00BF49FE"/>
    <w:rsid w:val="00BF52B9"/>
    <w:rsid w:val="00C043D9"/>
    <w:rsid w:val="00C051B5"/>
    <w:rsid w:val="00C10298"/>
    <w:rsid w:val="00C11C12"/>
    <w:rsid w:val="00C13919"/>
    <w:rsid w:val="00C1577C"/>
    <w:rsid w:val="00C20D0A"/>
    <w:rsid w:val="00C2109A"/>
    <w:rsid w:val="00C219CC"/>
    <w:rsid w:val="00C21AE9"/>
    <w:rsid w:val="00C22B25"/>
    <w:rsid w:val="00C24F02"/>
    <w:rsid w:val="00C25D19"/>
    <w:rsid w:val="00C2683C"/>
    <w:rsid w:val="00C30E5F"/>
    <w:rsid w:val="00C341E2"/>
    <w:rsid w:val="00C34853"/>
    <w:rsid w:val="00C351C2"/>
    <w:rsid w:val="00C35B19"/>
    <w:rsid w:val="00C37D71"/>
    <w:rsid w:val="00C446D5"/>
    <w:rsid w:val="00C45014"/>
    <w:rsid w:val="00C45251"/>
    <w:rsid w:val="00C51082"/>
    <w:rsid w:val="00C52F94"/>
    <w:rsid w:val="00C5600B"/>
    <w:rsid w:val="00C56BCA"/>
    <w:rsid w:val="00C60340"/>
    <w:rsid w:val="00C608DA"/>
    <w:rsid w:val="00C61175"/>
    <w:rsid w:val="00C637D1"/>
    <w:rsid w:val="00C65F22"/>
    <w:rsid w:val="00C74D45"/>
    <w:rsid w:val="00C8064B"/>
    <w:rsid w:val="00C829EA"/>
    <w:rsid w:val="00C82F0B"/>
    <w:rsid w:val="00C851D7"/>
    <w:rsid w:val="00C8547C"/>
    <w:rsid w:val="00C93633"/>
    <w:rsid w:val="00C946D4"/>
    <w:rsid w:val="00C9484C"/>
    <w:rsid w:val="00C96DAC"/>
    <w:rsid w:val="00CA7A0F"/>
    <w:rsid w:val="00CB0330"/>
    <w:rsid w:val="00CB5794"/>
    <w:rsid w:val="00CC165A"/>
    <w:rsid w:val="00CC172F"/>
    <w:rsid w:val="00CC301F"/>
    <w:rsid w:val="00CC4FE2"/>
    <w:rsid w:val="00CC7A8F"/>
    <w:rsid w:val="00CD114D"/>
    <w:rsid w:val="00CD1F9E"/>
    <w:rsid w:val="00CD5176"/>
    <w:rsid w:val="00CD6B3A"/>
    <w:rsid w:val="00CE3B7F"/>
    <w:rsid w:val="00CE4512"/>
    <w:rsid w:val="00CE5028"/>
    <w:rsid w:val="00CE5D09"/>
    <w:rsid w:val="00CF0A37"/>
    <w:rsid w:val="00CF1B6D"/>
    <w:rsid w:val="00D009D8"/>
    <w:rsid w:val="00D05899"/>
    <w:rsid w:val="00D05E28"/>
    <w:rsid w:val="00D1025C"/>
    <w:rsid w:val="00D1190E"/>
    <w:rsid w:val="00D158EE"/>
    <w:rsid w:val="00D16815"/>
    <w:rsid w:val="00D17601"/>
    <w:rsid w:val="00D17FC5"/>
    <w:rsid w:val="00D33CEA"/>
    <w:rsid w:val="00D349F2"/>
    <w:rsid w:val="00D36767"/>
    <w:rsid w:val="00D42789"/>
    <w:rsid w:val="00D44F75"/>
    <w:rsid w:val="00D45539"/>
    <w:rsid w:val="00D45938"/>
    <w:rsid w:val="00D46D2A"/>
    <w:rsid w:val="00D47E29"/>
    <w:rsid w:val="00D53109"/>
    <w:rsid w:val="00D56A28"/>
    <w:rsid w:val="00D56EF6"/>
    <w:rsid w:val="00D57F81"/>
    <w:rsid w:val="00D6095C"/>
    <w:rsid w:val="00D60BF1"/>
    <w:rsid w:val="00D653E7"/>
    <w:rsid w:val="00D66576"/>
    <w:rsid w:val="00D6661C"/>
    <w:rsid w:val="00D66CC3"/>
    <w:rsid w:val="00D70096"/>
    <w:rsid w:val="00D73396"/>
    <w:rsid w:val="00D73972"/>
    <w:rsid w:val="00D74660"/>
    <w:rsid w:val="00D751AE"/>
    <w:rsid w:val="00D8569F"/>
    <w:rsid w:val="00D90410"/>
    <w:rsid w:val="00D91C09"/>
    <w:rsid w:val="00D92599"/>
    <w:rsid w:val="00D926FC"/>
    <w:rsid w:val="00D92BD4"/>
    <w:rsid w:val="00D9519B"/>
    <w:rsid w:val="00D953F7"/>
    <w:rsid w:val="00D96EC7"/>
    <w:rsid w:val="00DA1898"/>
    <w:rsid w:val="00DA2B1B"/>
    <w:rsid w:val="00DA3AA5"/>
    <w:rsid w:val="00DA420F"/>
    <w:rsid w:val="00DA480F"/>
    <w:rsid w:val="00DA4961"/>
    <w:rsid w:val="00DA6415"/>
    <w:rsid w:val="00DA6F29"/>
    <w:rsid w:val="00DB0215"/>
    <w:rsid w:val="00DB6EDD"/>
    <w:rsid w:val="00DB739B"/>
    <w:rsid w:val="00DC167B"/>
    <w:rsid w:val="00DC7130"/>
    <w:rsid w:val="00DD0B39"/>
    <w:rsid w:val="00DD1681"/>
    <w:rsid w:val="00DD1FA5"/>
    <w:rsid w:val="00DD35AD"/>
    <w:rsid w:val="00DD5077"/>
    <w:rsid w:val="00DD663A"/>
    <w:rsid w:val="00DD7000"/>
    <w:rsid w:val="00DD7DFD"/>
    <w:rsid w:val="00DD7EA9"/>
    <w:rsid w:val="00DE1CA9"/>
    <w:rsid w:val="00DE475D"/>
    <w:rsid w:val="00DE47B5"/>
    <w:rsid w:val="00DE547A"/>
    <w:rsid w:val="00DF541F"/>
    <w:rsid w:val="00DF7A74"/>
    <w:rsid w:val="00E066BE"/>
    <w:rsid w:val="00E07B9F"/>
    <w:rsid w:val="00E11D2D"/>
    <w:rsid w:val="00E13EEA"/>
    <w:rsid w:val="00E14F50"/>
    <w:rsid w:val="00E171BE"/>
    <w:rsid w:val="00E2706A"/>
    <w:rsid w:val="00E273BC"/>
    <w:rsid w:val="00E27862"/>
    <w:rsid w:val="00E31121"/>
    <w:rsid w:val="00E34E31"/>
    <w:rsid w:val="00E35582"/>
    <w:rsid w:val="00E358E8"/>
    <w:rsid w:val="00E36825"/>
    <w:rsid w:val="00E36FBD"/>
    <w:rsid w:val="00E374DF"/>
    <w:rsid w:val="00E40830"/>
    <w:rsid w:val="00E40E5F"/>
    <w:rsid w:val="00E41303"/>
    <w:rsid w:val="00E42156"/>
    <w:rsid w:val="00E443ED"/>
    <w:rsid w:val="00E45AC9"/>
    <w:rsid w:val="00E465BB"/>
    <w:rsid w:val="00E50721"/>
    <w:rsid w:val="00E51087"/>
    <w:rsid w:val="00E54560"/>
    <w:rsid w:val="00E55043"/>
    <w:rsid w:val="00E613BE"/>
    <w:rsid w:val="00E623EA"/>
    <w:rsid w:val="00E62569"/>
    <w:rsid w:val="00E62BA0"/>
    <w:rsid w:val="00E62F7B"/>
    <w:rsid w:val="00E63998"/>
    <w:rsid w:val="00E66D5E"/>
    <w:rsid w:val="00E706B2"/>
    <w:rsid w:val="00E711A2"/>
    <w:rsid w:val="00E72691"/>
    <w:rsid w:val="00E75B11"/>
    <w:rsid w:val="00E75DFE"/>
    <w:rsid w:val="00E80304"/>
    <w:rsid w:val="00E821D9"/>
    <w:rsid w:val="00E8290E"/>
    <w:rsid w:val="00E91B2E"/>
    <w:rsid w:val="00E91D38"/>
    <w:rsid w:val="00E94738"/>
    <w:rsid w:val="00E959F1"/>
    <w:rsid w:val="00EA09E3"/>
    <w:rsid w:val="00EA10CE"/>
    <w:rsid w:val="00EA3AB4"/>
    <w:rsid w:val="00EA69C6"/>
    <w:rsid w:val="00EB26D1"/>
    <w:rsid w:val="00EB5660"/>
    <w:rsid w:val="00EC4ABE"/>
    <w:rsid w:val="00EC6A0D"/>
    <w:rsid w:val="00EC739D"/>
    <w:rsid w:val="00ED1464"/>
    <w:rsid w:val="00ED262D"/>
    <w:rsid w:val="00ED32D9"/>
    <w:rsid w:val="00ED3DBE"/>
    <w:rsid w:val="00ED5853"/>
    <w:rsid w:val="00ED755E"/>
    <w:rsid w:val="00EE085D"/>
    <w:rsid w:val="00EE11B7"/>
    <w:rsid w:val="00EE5DD1"/>
    <w:rsid w:val="00EE70A9"/>
    <w:rsid w:val="00EE74C1"/>
    <w:rsid w:val="00EE7FE6"/>
    <w:rsid w:val="00EF0BF5"/>
    <w:rsid w:val="00EF18E5"/>
    <w:rsid w:val="00EF230C"/>
    <w:rsid w:val="00EF65A7"/>
    <w:rsid w:val="00EF6F52"/>
    <w:rsid w:val="00EF721A"/>
    <w:rsid w:val="00F00292"/>
    <w:rsid w:val="00F03504"/>
    <w:rsid w:val="00F037DC"/>
    <w:rsid w:val="00F04442"/>
    <w:rsid w:val="00F11721"/>
    <w:rsid w:val="00F11744"/>
    <w:rsid w:val="00F119F9"/>
    <w:rsid w:val="00F11A54"/>
    <w:rsid w:val="00F122E0"/>
    <w:rsid w:val="00F21222"/>
    <w:rsid w:val="00F215E0"/>
    <w:rsid w:val="00F215E7"/>
    <w:rsid w:val="00F22665"/>
    <w:rsid w:val="00F3028E"/>
    <w:rsid w:val="00F32594"/>
    <w:rsid w:val="00F34F50"/>
    <w:rsid w:val="00F36127"/>
    <w:rsid w:val="00F4224D"/>
    <w:rsid w:val="00F4437C"/>
    <w:rsid w:val="00F44C63"/>
    <w:rsid w:val="00F520F7"/>
    <w:rsid w:val="00F53DFA"/>
    <w:rsid w:val="00F61E37"/>
    <w:rsid w:val="00F623AB"/>
    <w:rsid w:val="00F623FE"/>
    <w:rsid w:val="00F64092"/>
    <w:rsid w:val="00F64C92"/>
    <w:rsid w:val="00F66457"/>
    <w:rsid w:val="00F67907"/>
    <w:rsid w:val="00F679A1"/>
    <w:rsid w:val="00F76045"/>
    <w:rsid w:val="00F77DD9"/>
    <w:rsid w:val="00F81277"/>
    <w:rsid w:val="00F91EC2"/>
    <w:rsid w:val="00F92885"/>
    <w:rsid w:val="00F92CE4"/>
    <w:rsid w:val="00F946C4"/>
    <w:rsid w:val="00F95D7B"/>
    <w:rsid w:val="00F973B9"/>
    <w:rsid w:val="00F97491"/>
    <w:rsid w:val="00F97987"/>
    <w:rsid w:val="00FA34AF"/>
    <w:rsid w:val="00FA41D2"/>
    <w:rsid w:val="00FA4DB6"/>
    <w:rsid w:val="00FA5FA8"/>
    <w:rsid w:val="00FB16D2"/>
    <w:rsid w:val="00FB1ABD"/>
    <w:rsid w:val="00FB2342"/>
    <w:rsid w:val="00FB2F10"/>
    <w:rsid w:val="00FB5D90"/>
    <w:rsid w:val="00FC0E8C"/>
    <w:rsid w:val="00FC0EA9"/>
    <w:rsid w:val="00FC2BB4"/>
    <w:rsid w:val="00FC35EB"/>
    <w:rsid w:val="00FC55F4"/>
    <w:rsid w:val="00FD028C"/>
    <w:rsid w:val="00FD02DF"/>
    <w:rsid w:val="00FD0C21"/>
    <w:rsid w:val="00FD18A8"/>
    <w:rsid w:val="00FD6826"/>
    <w:rsid w:val="00FD6C29"/>
    <w:rsid w:val="00FD7999"/>
    <w:rsid w:val="00FD7D9A"/>
    <w:rsid w:val="00FD7F83"/>
    <w:rsid w:val="00FE082E"/>
    <w:rsid w:val="00FE0C37"/>
    <w:rsid w:val="00FE418E"/>
    <w:rsid w:val="00FE5DB9"/>
    <w:rsid w:val="00FE5E2D"/>
    <w:rsid w:val="00FE6018"/>
    <w:rsid w:val="00FE7AC0"/>
    <w:rsid w:val="00FF020E"/>
    <w:rsid w:val="00FF51B8"/>
    <w:rsid w:val="00FF5475"/>
    <w:rsid w:val="00FF627F"/>
    <w:rsid w:val="00F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82D15B4"/>
  <w15:chartTrackingRefBased/>
  <w15:docId w15:val="{D2D29120-A945-44F0-9319-52CABB06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u w:val="single"/>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772"/>
    <w:pPr>
      <w:widowControl w:val="0"/>
      <w:spacing w:after="0" w:line="240" w:lineRule="auto"/>
    </w:pPr>
  </w:style>
  <w:style w:type="paragraph" w:styleId="Heading2">
    <w:name w:val="heading 2"/>
    <w:basedOn w:val="Normal"/>
    <w:next w:val="Normal"/>
    <w:link w:val="Heading2Char"/>
    <w:qFormat/>
    <w:rsid w:val="00C8547C"/>
    <w:pPr>
      <w:keepNext/>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ind w:hanging="270"/>
      <w:outlineLvl w:val="1"/>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8547C"/>
    <w:rPr>
      <w:rFonts w:ascii="Times New Roman" w:eastAsia="Times New Roman" w:hAnsi="Times New Roman" w:cs="Times New Roman"/>
      <w:color w:val="FF0000"/>
      <w:kern w:val="0"/>
      <w:sz w:val="24"/>
      <w:szCs w:val="20"/>
      <w14:ligatures w14:val="none"/>
    </w:rPr>
  </w:style>
  <w:style w:type="paragraph" w:styleId="Title">
    <w:name w:val="Title"/>
    <w:basedOn w:val="Normal"/>
    <w:link w:val="TitleChar"/>
    <w:uiPriority w:val="99"/>
    <w:qFormat/>
    <w:rsid w:val="00C854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w:hAnsi="Times New"/>
      <w:b/>
      <w:sz w:val="36"/>
    </w:rPr>
  </w:style>
  <w:style w:type="character" w:customStyle="1" w:styleId="TitleChar">
    <w:name w:val="Title Char"/>
    <w:basedOn w:val="DefaultParagraphFont"/>
    <w:link w:val="Title"/>
    <w:uiPriority w:val="99"/>
    <w:rsid w:val="00C8547C"/>
    <w:rPr>
      <w:rFonts w:ascii="Times New" w:eastAsia="Times New Roman" w:hAnsi="Times New" w:cs="Times New Roman"/>
      <w:b/>
      <w:kern w:val="0"/>
      <w:sz w:val="36"/>
      <w:szCs w:val="20"/>
      <w14:ligatures w14:val="none"/>
    </w:rPr>
  </w:style>
  <w:style w:type="paragraph" w:styleId="ListParagraph">
    <w:name w:val="List Paragraph"/>
    <w:basedOn w:val="Normal"/>
    <w:uiPriority w:val="34"/>
    <w:qFormat/>
    <w:rsid w:val="00C8547C"/>
    <w:pPr>
      <w:ind w:left="720"/>
      <w:contextualSpacing/>
    </w:pPr>
  </w:style>
  <w:style w:type="paragraph" w:styleId="Header">
    <w:name w:val="header"/>
    <w:basedOn w:val="Normal"/>
    <w:link w:val="HeaderChar"/>
    <w:uiPriority w:val="99"/>
    <w:unhideWhenUsed/>
    <w:rsid w:val="00293166"/>
    <w:pPr>
      <w:tabs>
        <w:tab w:val="center" w:pos="4680"/>
        <w:tab w:val="right" w:pos="9360"/>
      </w:tabs>
    </w:pPr>
  </w:style>
  <w:style w:type="character" w:customStyle="1" w:styleId="HeaderChar">
    <w:name w:val="Header Char"/>
    <w:basedOn w:val="DefaultParagraphFont"/>
    <w:link w:val="Header"/>
    <w:uiPriority w:val="99"/>
    <w:rsid w:val="00293166"/>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293166"/>
    <w:pPr>
      <w:tabs>
        <w:tab w:val="center" w:pos="4680"/>
        <w:tab w:val="right" w:pos="9360"/>
      </w:tabs>
    </w:pPr>
  </w:style>
  <w:style w:type="character" w:customStyle="1" w:styleId="FooterChar">
    <w:name w:val="Footer Char"/>
    <w:basedOn w:val="DefaultParagraphFont"/>
    <w:link w:val="Footer"/>
    <w:uiPriority w:val="99"/>
    <w:rsid w:val="00293166"/>
    <w:rPr>
      <w:rFonts w:ascii="Times New Roman" w:eastAsia="Times New Roman" w:hAnsi="Times New Roman" w:cs="Times New Roman"/>
      <w:kern w:val="0"/>
      <w:sz w:val="24"/>
      <w:szCs w:val="20"/>
      <w14:ligatures w14:val="none"/>
    </w:rPr>
  </w:style>
  <w:style w:type="paragraph" w:customStyle="1" w:styleId="Default">
    <w:name w:val="Default"/>
    <w:rsid w:val="009B27A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1453F4"/>
    <w:pPr>
      <w:spacing w:after="0" w:line="240" w:lineRule="auto"/>
    </w:pPr>
    <w:rPr>
      <w:rFonts w:ascii="Times New Roman" w:eastAsia="Times New Roman" w:hAnsi="Times New Roman" w:cs="Times New Roman"/>
      <w:szCs w:val="20"/>
      <w14:ligatures w14:val="none"/>
    </w:rPr>
  </w:style>
  <w:style w:type="character" w:styleId="CommentReference">
    <w:name w:val="annotation reference"/>
    <w:basedOn w:val="DefaultParagraphFont"/>
    <w:uiPriority w:val="99"/>
    <w:semiHidden/>
    <w:unhideWhenUsed/>
    <w:rsid w:val="0088061E"/>
    <w:rPr>
      <w:sz w:val="16"/>
      <w:szCs w:val="16"/>
    </w:rPr>
  </w:style>
  <w:style w:type="paragraph" w:styleId="CommentText">
    <w:name w:val="annotation text"/>
    <w:basedOn w:val="Normal"/>
    <w:link w:val="CommentTextChar"/>
    <w:uiPriority w:val="99"/>
    <w:unhideWhenUsed/>
    <w:rsid w:val="0088061E"/>
    <w:rPr>
      <w:sz w:val="20"/>
    </w:rPr>
  </w:style>
  <w:style w:type="character" w:customStyle="1" w:styleId="CommentTextChar">
    <w:name w:val="Comment Text Char"/>
    <w:basedOn w:val="DefaultParagraphFont"/>
    <w:link w:val="CommentText"/>
    <w:uiPriority w:val="99"/>
    <w:rsid w:val="0088061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061E"/>
    <w:rPr>
      <w:b/>
      <w:bCs/>
    </w:rPr>
  </w:style>
  <w:style w:type="character" w:customStyle="1" w:styleId="CommentSubjectChar">
    <w:name w:val="Comment Subject Char"/>
    <w:basedOn w:val="CommentTextChar"/>
    <w:link w:val="CommentSubject"/>
    <w:uiPriority w:val="99"/>
    <w:semiHidden/>
    <w:rsid w:val="0088061E"/>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A6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638A"/>
    <w:rPr>
      <w:color w:val="666666"/>
    </w:rPr>
  </w:style>
  <w:style w:type="paragraph" w:styleId="z-TopofForm">
    <w:name w:val="HTML Top of Form"/>
    <w:basedOn w:val="Normal"/>
    <w:next w:val="Normal"/>
    <w:link w:val="z-TopofFormChar"/>
    <w:hidden/>
    <w:uiPriority w:val="99"/>
    <w:semiHidden/>
    <w:unhideWhenUsed/>
    <w:rsid w:val="00D3676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D36767"/>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3676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D36767"/>
    <w:rPr>
      <w:rFonts w:ascii="Arial" w:eastAsia="Times New Roman" w:hAnsi="Arial" w:cs="Arial"/>
      <w:vanish/>
      <w:kern w:val="0"/>
      <w:sz w:val="16"/>
      <w:szCs w:val="16"/>
      <w14:ligatures w14:val="none"/>
    </w:rPr>
  </w:style>
  <w:style w:type="paragraph" w:styleId="TOC1">
    <w:name w:val="toc 1"/>
    <w:basedOn w:val="Normal"/>
    <w:next w:val="Normal"/>
    <w:autoRedefine/>
    <w:uiPriority w:val="39"/>
    <w:semiHidden/>
    <w:unhideWhenUsed/>
    <w:rsid w:val="00FD7F8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A7F82.03681600" TargetMode="External"/><Relationship Id="rId17" Type="http://schemas.openxmlformats.org/officeDocument/2006/relationships/control" Target="activeX/activeX2.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control" Target="activeX/activeX4.xm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footer" Target="footer2.xml"/><Relationship Id="rId28" Type="http://schemas.openxmlformats.org/officeDocument/2006/relationships/image" Target="media/image10.wmf"/><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control" Target="activeX/activeX6.xml"/><Relationship Id="rId30" Type="http://schemas.openxmlformats.org/officeDocument/2006/relationships/image" Target="media/image11.wmf"/><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wm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_pjk\AppData\Local\Microsoft\Windows\INetCache\Content.Outlook\3ZMFKTHB\MassHousing%20TSP%20Modification%20for%20HOTMA%204.5.20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74399d6-cc25-48da-8f3a-705b0fa745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6AF26D741354DAFDD798E8E09DC17" ma:contentTypeVersion="15" ma:contentTypeDescription="Create a new document." ma:contentTypeScope="" ma:versionID="f80d87a9d261410420e1e6d380b394e8">
  <xsd:schema xmlns:xsd="http://www.w3.org/2001/XMLSchema" xmlns:xs="http://www.w3.org/2001/XMLSchema" xmlns:p="http://schemas.microsoft.com/office/2006/metadata/properties" xmlns:ns3="e74399d6-cc25-48da-8f3a-705b0fa745e4" xmlns:ns4="c4082886-19a6-49d1-9a21-86f698943787" targetNamespace="http://schemas.microsoft.com/office/2006/metadata/properties" ma:root="true" ma:fieldsID="84974c63cd1953a133c37c34aa06ccfe" ns3:_="" ns4:_="">
    <xsd:import namespace="e74399d6-cc25-48da-8f3a-705b0fa745e4"/>
    <xsd:import namespace="c4082886-19a6-49d1-9a21-86f6989437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399d6-cc25-48da-8f3a-705b0fa74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82886-19a6-49d1-9a21-86f698943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EEBD6-E1CC-44D1-BF2F-A35443A0E4EC}">
  <ds:schemaRefs>
    <ds:schemaRef ds:uri="http://schemas.openxmlformats.org/officeDocument/2006/bibliography"/>
  </ds:schemaRefs>
</ds:datastoreItem>
</file>

<file path=customXml/itemProps2.xml><?xml version="1.0" encoding="utf-8"?>
<ds:datastoreItem xmlns:ds="http://schemas.openxmlformats.org/officeDocument/2006/customXml" ds:itemID="{8962A81F-8D52-4C3C-AEAE-3536E6A68E53}">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c4082886-19a6-49d1-9a21-86f698943787"/>
    <ds:schemaRef ds:uri="http://purl.org/dc/elements/1.1/"/>
    <ds:schemaRef ds:uri="e74399d6-cc25-48da-8f3a-705b0fa745e4"/>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6E02FE0-8E47-4007-B9BF-8B948CA32A9E}">
  <ds:schemaRefs>
    <ds:schemaRef ds:uri="http://schemas.microsoft.com/sharepoint/v3/contenttype/forms"/>
  </ds:schemaRefs>
</ds:datastoreItem>
</file>

<file path=customXml/itemProps4.xml><?xml version="1.0" encoding="utf-8"?>
<ds:datastoreItem xmlns:ds="http://schemas.openxmlformats.org/officeDocument/2006/customXml" ds:itemID="{39566AD5-8BC6-4072-99DB-D7D370B90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399d6-cc25-48da-8f3a-705b0fa745e4"/>
    <ds:schemaRef ds:uri="c4082886-19a6-49d1-9a21-86f698943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MassHousing TSP Modification for HOTMA 4.5.2024</Template>
  <TotalTime>1</TotalTime>
  <Pages>20</Pages>
  <Words>5380</Words>
  <Characters>30666</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to the Tenant Selection Plan</dc:title>
  <dc:subject/>
  <dc:creator>Piia DiMeco</dc:creator>
  <cp:keywords/>
  <dc:description/>
  <cp:lastModifiedBy>Deepak Karamcheti</cp:lastModifiedBy>
  <cp:revision>2</cp:revision>
  <cp:lastPrinted>2024-03-30T21:58:00Z</cp:lastPrinted>
  <dcterms:created xsi:type="dcterms:W3CDTF">2024-04-05T18:46:00Z</dcterms:created>
  <dcterms:modified xsi:type="dcterms:W3CDTF">2024-04-05T18:46:00Z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0x0101001CC6AF26D741354DAFDD798E8E09DC17</vt:lpwstr>
  </property>
</Properties>
</file>